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953"/>
        <w:gridCol w:w="6768"/>
      </w:tblGrid>
      <w:tr w:rsidR="00BE488D" w14:paraId="6C6006C5" w14:textId="77777777">
        <w:tc>
          <w:tcPr>
            <w:tcW w:w="973" w:type="pct"/>
            <w:tcBorders>
              <w:bottom w:val="dotted" w:sz="2" w:space="0" w:color="auto"/>
            </w:tcBorders>
            <w:shd w:val="clear" w:color="auto" w:fill="FFFFFF"/>
          </w:tcPr>
          <w:p w14:paraId="68D5E43B" w14:textId="77777777" w:rsidR="00BE488D" w:rsidRDefault="00000000">
            <w:bookmarkStart w:id="0" w:name="_Hlk208265213"/>
            <w:r>
              <w:rPr>
                <w:rFonts w:cs="Calibri"/>
                <w:noProof/>
                <w:kern w:val="0"/>
                <w:sz w:val="22"/>
                <w:szCs w:val="22"/>
                <w14:ligatures w14:val="none"/>
              </w:rPr>
              <w:drawing>
                <wp:inline distT="0" distB="0" distL="0" distR="0" wp14:anchorId="612CA5AC" wp14:editId="08DC92FA">
                  <wp:extent cx="632437" cy="894750"/>
                  <wp:effectExtent l="95250" t="38100" r="34925" b="95885"/>
                  <wp:docPr id="1026"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8" cstate="print"/>
                          <a:srcRect/>
                          <a:stretch/>
                        </pic:blipFill>
                        <pic:spPr>
                          <a:xfrm>
                            <a:off x="0" y="0"/>
                            <a:ext cx="632437" cy="894750"/>
                          </a:xfrm>
                          <a:prstGeom prst="rect">
                            <a:avLst/>
                          </a:prstGeom>
                          <a:ln>
                            <a:noFill/>
                          </a:ln>
                          <a:effectLst>
                            <a:outerShdw blurRad="50800" dist="38100" dir="8100000" algn="tr" rotWithShape="0">
                              <a:srgbClr val="000000">
                                <a:alpha val="40000"/>
                              </a:srgbClr>
                            </a:outerShdw>
                          </a:effectLst>
                        </pic:spPr>
                      </pic:pic>
                    </a:graphicData>
                  </a:graphic>
                </wp:inline>
              </w:drawing>
            </w:r>
          </w:p>
        </w:tc>
        <w:tc>
          <w:tcPr>
            <w:tcW w:w="4027" w:type="pct"/>
            <w:gridSpan w:val="2"/>
            <w:tcBorders>
              <w:bottom w:val="dotted" w:sz="2" w:space="0" w:color="auto"/>
            </w:tcBorders>
            <w:shd w:val="clear" w:color="auto" w:fill="FFFFFF"/>
          </w:tcPr>
          <w:p w14:paraId="70A19F0C" w14:textId="77777777" w:rsidR="00BE488D" w:rsidRDefault="00BE488D">
            <w:pPr>
              <w:pStyle w:val="NoSpacing"/>
              <w:rPr>
                <w:rFonts w:ascii="Tw Cen MT" w:hAnsi="Tw Cen MT"/>
                <w:b/>
                <w:bCs/>
                <w:sz w:val="16"/>
                <w:szCs w:val="16"/>
              </w:rPr>
            </w:pPr>
          </w:p>
          <w:p w14:paraId="035F739E" w14:textId="77777777" w:rsidR="00BE488D" w:rsidRDefault="00000000">
            <w:pPr>
              <w:pStyle w:val="NoSpacing"/>
              <w:jc w:val="right"/>
              <w:rPr>
                <w:rFonts w:ascii="Tw Cen MT" w:hAnsi="Tw Cen MT"/>
                <w:b/>
                <w:bCs/>
                <w:color w:val="1F3864"/>
                <w:sz w:val="24"/>
                <w:szCs w:val="24"/>
              </w:rPr>
            </w:pPr>
            <w:r>
              <w:rPr>
                <w:rFonts w:ascii="Tw Cen MT" w:hAnsi="Tw Cen MT"/>
                <w:b/>
                <w:bCs/>
                <w:color w:val="1F3864"/>
                <w:sz w:val="24"/>
                <w:szCs w:val="24"/>
              </w:rPr>
              <w:t>International Journal of Medical</w:t>
            </w:r>
          </w:p>
          <w:p w14:paraId="7FE3295F" w14:textId="77777777" w:rsidR="00BE488D" w:rsidRDefault="00000000">
            <w:pPr>
              <w:pStyle w:val="NoSpacing"/>
              <w:spacing w:line="360" w:lineRule="auto"/>
              <w:jc w:val="right"/>
              <w:rPr>
                <w:rFonts w:ascii="Tw Cen MT" w:hAnsi="Tw Cen MT"/>
                <w:b/>
                <w:bCs/>
                <w:color w:val="1F3864"/>
                <w:sz w:val="24"/>
                <w:szCs w:val="24"/>
              </w:rPr>
            </w:pPr>
            <w:r>
              <w:rPr>
                <w:rFonts w:ascii="Tw Cen MT" w:hAnsi="Tw Cen MT"/>
                <w:b/>
                <w:bCs/>
                <w:color w:val="1F3864"/>
                <w:sz w:val="24"/>
                <w:szCs w:val="24"/>
              </w:rPr>
              <w:t>and Pharmaceutical Research</w:t>
            </w:r>
          </w:p>
          <w:p w14:paraId="48B70B76" w14:textId="77777777" w:rsidR="00BE488D" w:rsidRDefault="00000000">
            <w:pPr>
              <w:pStyle w:val="NoSpacing"/>
              <w:jc w:val="right"/>
              <w:rPr>
                <w:rFonts w:ascii="Tw Cen MT" w:hAnsi="Tw Cen MT"/>
                <w:sz w:val="20"/>
                <w:szCs w:val="20"/>
              </w:rPr>
            </w:pPr>
            <w:r>
              <w:rPr>
                <w:rFonts w:ascii="Tw Cen MT" w:hAnsi="Tw Cen MT"/>
                <w:sz w:val="20"/>
                <w:szCs w:val="20"/>
              </w:rPr>
              <w:t>Online ISSN-2958-3683 | Print ISSN-2958-3675</w:t>
            </w:r>
          </w:p>
          <w:p w14:paraId="313F81B7" w14:textId="77777777" w:rsidR="00BE488D" w:rsidRDefault="00000000">
            <w:pPr>
              <w:pStyle w:val="NoSpacing"/>
              <w:jc w:val="right"/>
              <w:rPr>
                <w:sz w:val="24"/>
                <w:szCs w:val="24"/>
              </w:rPr>
            </w:pPr>
            <w:r>
              <w:rPr>
                <w:rFonts w:ascii="Tw Cen MT" w:hAnsi="Tw Cen MT"/>
                <w:sz w:val="20"/>
                <w:szCs w:val="20"/>
              </w:rPr>
              <w:t>Frequency: Bi-Monthly</w:t>
            </w:r>
            <w:r>
              <w:rPr>
                <w:rFonts w:ascii="Tw Cen MT" w:hAnsi="Tw Cen MT"/>
                <w:sz w:val="20"/>
                <w:szCs w:val="20"/>
              </w:rPr>
              <w:br/>
              <w:t xml:space="preserve">Available online on: </w:t>
            </w:r>
            <w:hyperlink r:id="rId9" w:history="1">
              <w:r w:rsidR="00BE488D">
                <w:rPr>
                  <w:rStyle w:val="Hyperlink"/>
                  <w:rFonts w:ascii="Tw Cen MT" w:hAnsi="Tw Cen MT"/>
                  <w:sz w:val="20"/>
                  <w:szCs w:val="20"/>
                </w:rPr>
                <w:t>https://ijmpr.in/</w:t>
              </w:r>
            </w:hyperlink>
            <w:r>
              <w:rPr>
                <w:rFonts w:ascii="Tw Cen MT" w:hAnsi="Tw Cen MT"/>
                <w:sz w:val="20"/>
                <w:szCs w:val="20"/>
              </w:rPr>
              <w:t xml:space="preserve"> </w:t>
            </w:r>
          </w:p>
        </w:tc>
      </w:tr>
      <w:tr w:rsidR="00BE488D" w14:paraId="3CC639FD" w14:textId="77777777">
        <w:trPr>
          <w:trHeight w:val="333"/>
        </w:trPr>
        <w:tc>
          <w:tcPr>
            <w:tcW w:w="5000" w:type="pct"/>
            <w:gridSpan w:val="3"/>
            <w:tcBorders>
              <w:top w:val="dotted" w:sz="2" w:space="0" w:color="auto"/>
            </w:tcBorders>
          </w:tcPr>
          <w:p w14:paraId="3AF0A3BC" w14:textId="77777777" w:rsidR="00BE488D" w:rsidRDefault="00000000">
            <w:pPr>
              <w:rPr>
                <w:rFonts w:ascii="Tw Cen MT" w:hAnsi="Tw Cen MT"/>
              </w:rPr>
            </w:pPr>
            <w:r>
              <w:rPr>
                <w:rFonts w:ascii="Tw Cen MT" w:hAnsi="Tw Cen MT"/>
                <w:highlight w:val="lightGray"/>
              </w:rPr>
              <w:t>Original Article</w:t>
            </w:r>
          </w:p>
        </w:tc>
      </w:tr>
      <w:tr w:rsidR="00BE488D" w14:paraId="52D53B28" w14:textId="77777777">
        <w:tc>
          <w:tcPr>
            <w:tcW w:w="5000" w:type="pct"/>
            <w:gridSpan w:val="3"/>
          </w:tcPr>
          <w:p w14:paraId="1BAB7ED2" w14:textId="77777777" w:rsidR="00BE488D" w:rsidRDefault="00BE488D">
            <w:pPr>
              <w:tabs>
                <w:tab w:val="left" w:pos="3885"/>
              </w:tabs>
              <w:jc w:val="center"/>
              <w:rPr>
                <w:rFonts w:ascii="Century Gothic" w:hAnsi="Century Gothic" w:cs="Times New Roman"/>
                <w:color w:val="323E4F"/>
                <w:spacing w:val="-6"/>
                <w:sz w:val="20"/>
                <w:szCs w:val="20"/>
              </w:rPr>
            </w:pPr>
          </w:p>
          <w:p w14:paraId="1D2D04F3" w14:textId="21663BEC" w:rsidR="00BE488D" w:rsidRDefault="00817BC3">
            <w:pPr>
              <w:jc w:val="center"/>
              <w:rPr>
                <w:rFonts w:ascii="Century Gothic" w:hAnsi="Century Gothic" w:cs="Times New Roman"/>
                <w:b/>
                <w:bCs/>
                <w:color w:val="323E4F"/>
                <w:spacing w:val="-6"/>
                <w:sz w:val="28"/>
                <w:szCs w:val="28"/>
              </w:rPr>
            </w:pPr>
            <w:r w:rsidRPr="00817BC3">
              <w:rPr>
                <w:rFonts w:ascii="Century Gothic" w:hAnsi="Century Gothic" w:cs="Times New Roman"/>
                <w:b/>
                <w:bCs/>
                <w:color w:val="323E4F"/>
                <w:spacing w:val="-6"/>
                <w:sz w:val="28"/>
                <w:szCs w:val="28"/>
              </w:rPr>
              <w:t>Comparison Of the Topical Insulin Versus Topical Phenytoin in Healing of Diabetic Foot Ulcers</w:t>
            </w:r>
          </w:p>
          <w:p w14:paraId="63239CC4" w14:textId="77777777" w:rsidR="00BE488D" w:rsidRDefault="00BE488D">
            <w:pPr>
              <w:jc w:val="center"/>
              <w:rPr>
                <w:rFonts w:cs="Times New Roman"/>
                <w:sz w:val="20"/>
                <w:szCs w:val="20"/>
              </w:rPr>
            </w:pPr>
          </w:p>
          <w:p w14:paraId="6841F7C6" w14:textId="3D3C96D0" w:rsidR="00BE488D" w:rsidRDefault="00DF57A8">
            <w:pPr>
              <w:pStyle w:val="NoSpacing"/>
              <w:spacing w:line="192" w:lineRule="auto"/>
              <w:jc w:val="center"/>
              <w:rPr>
                <w:rFonts w:cs="Times New Roman"/>
                <w:b/>
                <w:bCs/>
                <w:kern w:val="2"/>
                <w:sz w:val="20"/>
                <w:szCs w:val="20"/>
                <w14:ligatures w14:val="standardContextual"/>
              </w:rPr>
            </w:pPr>
            <w:r w:rsidRPr="00DF57A8">
              <w:rPr>
                <w:rFonts w:cs="Times New Roman"/>
                <w:b/>
                <w:bCs/>
                <w:kern w:val="2"/>
                <w:sz w:val="20"/>
                <w:szCs w:val="20"/>
                <w14:ligatures w14:val="standardContextual"/>
              </w:rPr>
              <w:t>Dr Saipriya S V</w:t>
            </w:r>
            <w:r w:rsidRPr="00DF57A8">
              <w:rPr>
                <w:rFonts w:cs="Times New Roman"/>
                <w:b/>
                <w:bCs/>
                <w:kern w:val="2"/>
                <w:sz w:val="20"/>
                <w:szCs w:val="20"/>
                <w:vertAlign w:val="superscript"/>
                <w14:ligatures w14:val="standardContextual"/>
              </w:rPr>
              <w:t>1</w:t>
            </w:r>
            <w:r w:rsidRPr="00DF57A8">
              <w:rPr>
                <w:rFonts w:cs="Times New Roman"/>
                <w:b/>
                <w:bCs/>
                <w:kern w:val="2"/>
                <w:sz w:val="20"/>
                <w:szCs w:val="20"/>
                <w14:ligatures w14:val="standardContextual"/>
              </w:rPr>
              <w:t>, Dr Amutha</w:t>
            </w:r>
            <w:r w:rsidRPr="00DF57A8">
              <w:rPr>
                <w:rFonts w:cs="Times New Roman"/>
                <w:b/>
                <w:bCs/>
                <w:kern w:val="2"/>
                <w:sz w:val="20"/>
                <w:szCs w:val="20"/>
                <w:vertAlign w:val="superscript"/>
                <w14:ligatures w14:val="standardContextual"/>
              </w:rPr>
              <w:t>2</w:t>
            </w:r>
          </w:p>
          <w:p w14:paraId="45CB4856" w14:textId="77777777" w:rsidR="00BE488D" w:rsidRDefault="00BE488D">
            <w:pPr>
              <w:pStyle w:val="NoSpacing"/>
              <w:spacing w:line="192" w:lineRule="auto"/>
              <w:jc w:val="center"/>
              <w:rPr>
                <w:rFonts w:cs="Times New Roman"/>
                <w:b/>
                <w:bCs/>
                <w:kern w:val="2"/>
                <w:sz w:val="20"/>
                <w:szCs w:val="20"/>
                <w14:ligatures w14:val="standardContextual"/>
              </w:rPr>
            </w:pPr>
          </w:p>
          <w:p w14:paraId="36C4BFB8" w14:textId="17A49BF0" w:rsidR="00FF7468" w:rsidRPr="00FF7468" w:rsidRDefault="00FF7468" w:rsidP="00FF7468">
            <w:pPr>
              <w:jc w:val="center"/>
              <w:rPr>
                <w:i/>
                <w:sz w:val="18"/>
                <w:szCs w:val="18"/>
              </w:rPr>
            </w:pPr>
            <w:r w:rsidRPr="00FF7468">
              <w:rPr>
                <w:i/>
                <w:sz w:val="18"/>
                <w:szCs w:val="18"/>
                <w:vertAlign w:val="superscript"/>
              </w:rPr>
              <w:t>1</w:t>
            </w:r>
            <w:r w:rsidRPr="00FF7468">
              <w:rPr>
                <w:i/>
                <w:sz w:val="18"/>
                <w:szCs w:val="18"/>
              </w:rPr>
              <w:t>Junior Resident, Department of General Surgery, Sree Mookambika Institute of Medical Sciences, Kanyakumari, Tamil Nadu, India</w:t>
            </w:r>
          </w:p>
          <w:p w14:paraId="72E86ACC" w14:textId="34FBCD70" w:rsidR="00BE488D" w:rsidRDefault="00FF7468" w:rsidP="00FF7468">
            <w:pPr>
              <w:jc w:val="center"/>
              <w:rPr>
                <w:i/>
                <w:sz w:val="18"/>
                <w:szCs w:val="18"/>
              </w:rPr>
            </w:pPr>
            <w:r w:rsidRPr="00FF7468">
              <w:rPr>
                <w:i/>
                <w:sz w:val="18"/>
                <w:szCs w:val="18"/>
                <w:vertAlign w:val="superscript"/>
              </w:rPr>
              <w:t>2</w:t>
            </w:r>
            <w:r w:rsidRPr="00FF7468">
              <w:rPr>
                <w:i/>
                <w:sz w:val="18"/>
                <w:szCs w:val="18"/>
              </w:rPr>
              <w:t>Professor, Department of General Surgery, Sree Mookambika Institute of Medical Sciences, Kanyakumari, Tamil Nadu, India</w:t>
            </w:r>
          </w:p>
          <w:p w14:paraId="5955FCEF" w14:textId="77777777" w:rsidR="00BE488D" w:rsidRDefault="00BE488D">
            <w:pPr>
              <w:jc w:val="center"/>
              <w:rPr>
                <w:sz w:val="18"/>
              </w:rPr>
            </w:pPr>
          </w:p>
        </w:tc>
      </w:tr>
      <w:tr w:rsidR="00BE488D" w14:paraId="530CE916" w14:textId="77777777">
        <w:tc>
          <w:tcPr>
            <w:tcW w:w="1431" w:type="pct"/>
            <w:gridSpan w:val="2"/>
            <w:shd w:val="clear" w:color="auto" w:fill="F2F2F2"/>
          </w:tcPr>
          <w:p w14:paraId="594B61AB" w14:textId="77777777" w:rsidR="00BE488D" w:rsidRDefault="00000000">
            <w:pPr>
              <w:ind w:left="-113"/>
              <w:jc w:val="center"/>
              <w:rPr>
                <w:b/>
                <w:bCs/>
              </w:rPr>
            </w:pPr>
            <w:r>
              <w:rPr>
                <w:noProof/>
              </w:rPr>
              <w:drawing>
                <wp:inline distT="0" distB="0" distL="0" distR="0" wp14:anchorId="10FF2BFB" wp14:editId="284707A3">
                  <wp:extent cx="1824990" cy="250189"/>
                  <wp:effectExtent l="0" t="0" r="0" b="0"/>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duotone>
                              <a:srgbClr val="000000"/>
                              <a:srgbClr val="97B3FF"/>
                            </a:duotone>
                          </a:blip>
                          <a:srcRect/>
                          <a:stretch/>
                        </pic:blipFill>
                        <pic:spPr>
                          <a:xfrm>
                            <a:off x="0" y="0"/>
                            <a:ext cx="1824990" cy="250189"/>
                          </a:xfrm>
                          <a:prstGeom prst="rect">
                            <a:avLst/>
                          </a:prstGeom>
                          <a:ln>
                            <a:noFill/>
                          </a:ln>
                        </pic:spPr>
                      </pic:pic>
                    </a:graphicData>
                  </a:graphic>
                </wp:inline>
              </w:drawing>
            </w:r>
          </w:p>
        </w:tc>
        <w:tc>
          <w:tcPr>
            <w:tcW w:w="3569" w:type="pct"/>
          </w:tcPr>
          <w:p w14:paraId="3BEECBCA" w14:textId="77777777" w:rsidR="00BE488D" w:rsidRDefault="00000000">
            <w:pPr>
              <w:ind w:left="60"/>
            </w:pPr>
            <w:r>
              <w:rPr>
                <w:rFonts w:cs="Tahoma"/>
                <w:b/>
                <w:bCs/>
                <w:color w:val="E36C0A"/>
                <w:kern w:val="0"/>
                <w:lang w:val="en-IN"/>
                <w14:ligatures w14:val="none"/>
              </w:rPr>
              <w:t>A B S T R A C T</w:t>
            </w:r>
          </w:p>
        </w:tc>
      </w:tr>
      <w:tr w:rsidR="00BE488D" w14:paraId="4DA0CB06" w14:textId="77777777">
        <w:tc>
          <w:tcPr>
            <w:tcW w:w="1431" w:type="pct"/>
            <w:gridSpan w:val="2"/>
            <w:shd w:val="clear" w:color="auto" w:fill="F2F2F2"/>
          </w:tcPr>
          <w:p w14:paraId="3156CFA1" w14:textId="77777777" w:rsidR="00BE488D" w:rsidRDefault="00BE488D">
            <w:pPr>
              <w:pStyle w:val="NoSpacing"/>
              <w:rPr>
                <w:sz w:val="16"/>
                <w:szCs w:val="16"/>
              </w:rPr>
            </w:pPr>
          </w:p>
          <w:p w14:paraId="6A6816C6" w14:textId="77777777" w:rsidR="00BE488D" w:rsidRDefault="00000000">
            <w:pPr>
              <w:spacing w:line="360" w:lineRule="auto"/>
              <w:rPr>
                <w:rFonts w:cs="Times New Roman"/>
                <w:b/>
                <w:bCs/>
                <w:sz w:val="20"/>
                <w:szCs w:val="20"/>
                <w:u w:val="single"/>
              </w:rPr>
            </w:pPr>
            <w:r>
              <w:rPr>
                <w:rFonts w:cs="Times New Roman"/>
                <w:b/>
                <w:bCs/>
                <w:sz w:val="20"/>
                <w:szCs w:val="20"/>
                <w:u w:val="single"/>
              </w:rPr>
              <w:t>Corresponding Author:</w:t>
            </w:r>
          </w:p>
          <w:p w14:paraId="241663AB" w14:textId="77777777" w:rsidR="00977E87" w:rsidRDefault="00977E87">
            <w:pPr>
              <w:rPr>
                <w:rFonts w:cs="Arial"/>
                <w:b/>
                <w:bCs/>
                <w:sz w:val="20"/>
                <w:szCs w:val="20"/>
              </w:rPr>
            </w:pPr>
            <w:r w:rsidRPr="00977E87">
              <w:rPr>
                <w:rFonts w:cs="Arial"/>
                <w:b/>
                <w:bCs/>
                <w:sz w:val="20"/>
                <w:szCs w:val="20"/>
              </w:rPr>
              <w:t xml:space="preserve">Dr Saipriya S V </w:t>
            </w:r>
          </w:p>
          <w:p w14:paraId="363E881E" w14:textId="07C6E61E" w:rsidR="00BE488D" w:rsidRDefault="00165C47">
            <w:pPr>
              <w:rPr>
                <w:rFonts w:cs="Arial"/>
                <w:sz w:val="19"/>
                <w:szCs w:val="19"/>
              </w:rPr>
            </w:pPr>
            <w:r w:rsidRPr="00165C47">
              <w:rPr>
                <w:rFonts w:cs="Arial"/>
                <w:sz w:val="19"/>
                <w:szCs w:val="19"/>
              </w:rPr>
              <w:t>Junior Resident, Department of General Surgery, Sree Mookambika Institute of Medical Sciences, Kanyakumari, Tamil Nadu, India</w:t>
            </w:r>
            <w:r w:rsidR="00000000">
              <w:rPr>
                <w:rFonts w:cs="Arial"/>
                <w:sz w:val="19"/>
                <w:szCs w:val="19"/>
              </w:rPr>
              <w:t>.</w:t>
            </w:r>
          </w:p>
          <w:p w14:paraId="17F8A6BD" w14:textId="77777777" w:rsidR="00BE488D" w:rsidRDefault="00BE488D">
            <w:pPr>
              <w:rPr>
                <w:rFonts w:cs="Arial"/>
                <w:sz w:val="19"/>
                <w:szCs w:val="19"/>
              </w:rPr>
            </w:pPr>
          </w:p>
          <w:p w14:paraId="39217135" w14:textId="77777777" w:rsidR="00BE488D" w:rsidRDefault="00BE488D">
            <w:pPr>
              <w:rPr>
                <w:rFonts w:cs="Arial"/>
                <w:sz w:val="19"/>
                <w:szCs w:val="19"/>
              </w:rPr>
            </w:pPr>
          </w:p>
          <w:p w14:paraId="5300E235" w14:textId="77777777" w:rsidR="00BE488D" w:rsidRDefault="00BE488D">
            <w:pPr>
              <w:rPr>
                <w:rFonts w:cs="Arial"/>
                <w:sz w:val="19"/>
                <w:szCs w:val="19"/>
              </w:rPr>
            </w:pPr>
          </w:p>
          <w:p w14:paraId="63F2F0EE" w14:textId="77777777" w:rsidR="00BE488D" w:rsidRDefault="00BE488D">
            <w:pPr>
              <w:rPr>
                <w:rFonts w:cs="Times New Roman"/>
                <w:i/>
                <w:iCs/>
                <w:sz w:val="19"/>
                <w:szCs w:val="19"/>
              </w:rPr>
            </w:pPr>
          </w:p>
          <w:p w14:paraId="7A11C6F4" w14:textId="022C7B1A" w:rsidR="00BE488D" w:rsidRDefault="00000000">
            <w:pPr>
              <w:widowControl w:val="0"/>
              <w:autoSpaceDE w:val="0"/>
              <w:autoSpaceDN w:val="0"/>
              <w:rPr>
                <w:rFonts w:ascii="Times New Roman" w:hAnsi="Times New Roman" w:cs="Times New Roman"/>
                <w:i/>
                <w:iCs/>
                <w:sz w:val="20"/>
                <w:szCs w:val="20"/>
              </w:rPr>
            </w:pPr>
            <w:r>
              <w:rPr>
                <w:rFonts w:ascii="Times New Roman" w:hAnsi="Times New Roman" w:cs="Times New Roman"/>
                <w:i/>
                <w:iCs/>
                <w:sz w:val="20"/>
                <w:szCs w:val="20"/>
              </w:rPr>
              <w:t>Received: 0</w:t>
            </w:r>
            <w:r w:rsidR="00067368">
              <w:rPr>
                <w:rFonts w:ascii="Times New Roman" w:hAnsi="Times New Roman" w:cs="Times New Roman"/>
                <w:i/>
                <w:iCs/>
                <w:sz w:val="20"/>
                <w:szCs w:val="20"/>
              </w:rPr>
              <w:t>6</w:t>
            </w:r>
            <w:r>
              <w:rPr>
                <w:rFonts w:ascii="Times New Roman" w:hAnsi="Times New Roman" w:cs="Times New Roman"/>
                <w:i/>
                <w:iCs/>
                <w:sz w:val="20"/>
                <w:szCs w:val="20"/>
              </w:rPr>
              <w:t>-0</w:t>
            </w:r>
            <w:r w:rsidR="00067368">
              <w:rPr>
                <w:rFonts w:ascii="Times New Roman" w:hAnsi="Times New Roman" w:cs="Times New Roman"/>
                <w:i/>
                <w:iCs/>
                <w:sz w:val="20"/>
                <w:szCs w:val="20"/>
              </w:rPr>
              <w:t>2</w:t>
            </w:r>
            <w:r>
              <w:rPr>
                <w:rFonts w:ascii="Times New Roman" w:hAnsi="Times New Roman" w:cs="Times New Roman"/>
                <w:i/>
                <w:iCs/>
                <w:sz w:val="20"/>
                <w:szCs w:val="20"/>
              </w:rPr>
              <w:t>-2026</w:t>
            </w:r>
          </w:p>
          <w:p w14:paraId="170A7F72" w14:textId="31043893" w:rsidR="00BE488D" w:rsidRDefault="00000000">
            <w:pPr>
              <w:widowControl w:val="0"/>
              <w:autoSpaceDE w:val="0"/>
              <w:autoSpaceDN w:val="0"/>
              <w:rPr>
                <w:rFonts w:ascii="Times New Roman" w:hAnsi="Times New Roman" w:cs="Times New Roman"/>
                <w:i/>
                <w:iCs/>
                <w:sz w:val="20"/>
                <w:szCs w:val="20"/>
              </w:rPr>
            </w:pPr>
            <w:r>
              <w:rPr>
                <w:rFonts w:ascii="Times New Roman" w:hAnsi="Times New Roman" w:cs="Times New Roman"/>
                <w:i/>
                <w:iCs/>
                <w:sz w:val="20"/>
                <w:szCs w:val="20"/>
              </w:rPr>
              <w:t xml:space="preserve">Accepted: </w:t>
            </w:r>
            <w:r w:rsidR="00067368">
              <w:rPr>
                <w:rFonts w:ascii="Times New Roman" w:hAnsi="Times New Roman" w:cs="Times New Roman"/>
                <w:i/>
                <w:iCs/>
                <w:sz w:val="20"/>
                <w:szCs w:val="20"/>
              </w:rPr>
              <w:t>12</w:t>
            </w:r>
            <w:r>
              <w:rPr>
                <w:rFonts w:ascii="Times New Roman" w:hAnsi="Times New Roman" w:cs="Times New Roman"/>
                <w:i/>
                <w:iCs/>
                <w:sz w:val="20"/>
                <w:szCs w:val="20"/>
              </w:rPr>
              <w:t>-0</w:t>
            </w:r>
            <w:r w:rsidR="00067368">
              <w:rPr>
                <w:rFonts w:ascii="Times New Roman" w:hAnsi="Times New Roman" w:cs="Times New Roman"/>
                <w:i/>
                <w:iCs/>
                <w:sz w:val="20"/>
                <w:szCs w:val="20"/>
              </w:rPr>
              <w:t>3</w:t>
            </w:r>
            <w:r>
              <w:rPr>
                <w:rFonts w:ascii="Times New Roman" w:hAnsi="Times New Roman" w:cs="Times New Roman"/>
                <w:i/>
                <w:iCs/>
                <w:sz w:val="20"/>
                <w:szCs w:val="20"/>
              </w:rPr>
              <w:t>-2026</w:t>
            </w:r>
          </w:p>
          <w:p w14:paraId="08C7F52F" w14:textId="4F883394" w:rsidR="00BE488D" w:rsidRDefault="00000000">
            <w:pPr>
              <w:widowControl w:val="0"/>
              <w:autoSpaceDE w:val="0"/>
              <w:autoSpaceDN w:val="0"/>
              <w:rPr>
                <w:rFonts w:ascii="Times New Roman" w:hAnsi="Times New Roman" w:cs="Times New Roman"/>
                <w:i/>
                <w:iCs/>
                <w:sz w:val="20"/>
                <w:szCs w:val="20"/>
              </w:rPr>
            </w:pPr>
            <w:r>
              <w:rPr>
                <w:rFonts w:ascii="Times New Roman" w:hAnsi="Times New Roman" w:cs="Times New Roman"/>
                <w:i/>
                <w:iCs/>
                <w:sz w:val="20"/>
                <w:szCs w:val="20"/>
              </w:rPr>
              <w:t xml:space="preserve">Available online: </w:t>
            </w:r>
            <w:r w:rsidR="00067368">
              <w:rPr>
                <w:rFonts w:ascii="Times New Roman" w:hAnsi="Times New Roman" w:cs="Times New Roman"/>
                <w:i/>
                <w:iCs/>
                <w:sz w:val="20"/>
                <w:szCs w:val="20"/>
              </w:rPr>
              <w:t>24</w:t>
            </w:r>
            <w:r>
              <w:rPr>
                <w:rFonts w:ascii="Times New Roman" w:hAnsi="Times New Roman" w:cs="Times New Roman"/>
                <w:i/>
                <w:iCs/>
                <w:sz w:val="20"/>
                <w:szCs w:val="20"/>
              </w:rPr>
              <w:t>-0</w:t>
            </w:r>
            <w:r w:rsidR="00067368">
              <w:rPr>
                <w:rFonts w:ascii="Times New Roman" w:hAnsi="Times New Roman" w:cs="Times New Roman"/>
                <w:i/>
                <w:iCs/>
                <w:sz w:val="20"/>
                <w:szCs w:val="20"/>
              </w:rPr>
              <w:t>3</w:t>
            </w:r>
            <w:r>
              <w:rPr>
                <w:rFonts w:ascii="Times New Roman" w:hAnsi="Times New Roman" w:cs="Times New Roman"/>
                <w:i/>
                <w:iCs/>
                <w:sz w:val="20"/>
                <w:szCs w:val="20"/>
              </w:rPr>
              <w:t>-2026</w:t>
            </w:r>
          </w:p>
          <w:p w14:paraId="7A15CB76" w14:textId="77777777" w:rsidR="00BE488D" w:rsidRDefault="00BE488D">
            <w:pPr>
              <w:rPr>
                <w:rFonts w:cs="Times New Roman"/>
                <w:sz w:val="20"/>
                <w:szCs w:val="20"/>
              </w:rPr>
            </w:pPr>
          </w:p>
          <w:p w14:paraId="312B6155" w14:textId="77777777" w:rsidR="00BE488D" w:rsidRDefault="00BE488D">
            <w:pPr>
              <w:rPr>
                <w:rFonts w:cs="Times New Roman"/>
                <w:i/>
                <w:iCs/>
                <w:sz w:val="16"/>
                <w:szCs w:val="16"/>
              </w:rPr>
            </w:pPr>
          </w:p>
        </w:tc>
        <w:tc>
          <w:tcPr>
            <w:tcW w:w="3569" w:type="pct"/>
          </w:tcPr>
          <w:p w14:paraId="6B9429D7" w14:textId="77777777" w:rsidR="00147028" w:rsidRPr="00317DFA" w:rsidRDefault="00147028" w:rsidP="00147028">
            <w:pPr>
              <w:pBdr>
                <w:top w:val="nil"/>
                <w:left w:val="nil"/>
                <w:bottom w:val="nil"/>
                <w:right w:val="nil"/>
                <w:between w:val="nil"/>
              </w:pBdr>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b/>
                <w:bCs/>
                <w:color w:val="000000"/>
                <w:sz w:val="20"/>
                <w:szCs w:val="20"/>
              </w:rPr>
              <w:t xml:space="preserve">Background: </w:t>
            </w:r>
            <w:r w:rsidRPr="00317DFA">
              <w:rPr>
                <w:rFonts w:ascii="Times New Roman" w:eastAsia="Times New Roman" w:hAnsi="Times New Roman" w:cs="Times New Roman"/>
                <w:color w:val="000000"/>
                <w:sz w:val="20"/>
                <w:szCs w:val="20"/>
              </w:rPr>
              <w:t>Diabetic foot ulcers represent a major complication of diabetes mellitus, leading to significant morbidity, prolonged hospitalization, and risk of amputation. Impaired wound healing due to neuropathy, ischemia, and infection necessitates effective therapeutic strategies. Topical agents such as insulin and phenytoin have shown potential in enhancing wound healing through different mechanisms, including promotion of granulation tissue and cellular proliferation, but comparative evidence remains limited.</w:t>
            </w:r>
          </w:p>
          <w:p w14:paraId="2E161990" w14:textId="77777777" w:rsidR="00147028" w:rsidRPr="00317DFA" w:rsidRDefault="00147028" w:rsidP="00147028">
            <w:pPr>
              <w:pBdr>
                <w:top w:val="nil"/>
                <w:left w:val="nil"/>
                <w:bottom w:val="nil"/>
                <w:right w:val="nil"/>
                <w:between w:val="nil"/>
              </w:pBdr>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b/>
                <w:bCs/>
                <w:color w:val="000000"/>
                <w:sz w:val="20"/>
                <w:szCs w:val="20"/>
              </w:rPr>
              <w:t xml:space="preserve">Aims: </w:t>
            </w:r>
            <w:r w:rsidRPr="00317DFA">
              <w:rPr>
                <w:rFonts w:ascii="Times New Roman" w:eastAsia="Times New Roman" w:hAnsi="Times New Roman" w:cs="Times New Roman"/>
                <w:color w:val="000000"/>
                <w:sz w:val="20"/>
                <w:szCs w:val="20"/>
              </w:rPr>
              <w:t>To compare the efficacy of topical insulin versus topical phenytoin in promoting healing of diabetic foot ulcers.</w:t>
            </w:r>
          </w:p>
          <w:p w14:paraId="20DF77EA" w14:textId="77777777" w:rsidR="00147028" w:rsidRPr="00317DFA" w:rsidRDefault="00147028" w:rsidP="00147028">
            <w:pPr>
              <w:pBdr>
                <w:top w:val="nil"/>
                <w:left w:val="nil"/>
                <w:bottom w:val="nil"/>
                <w:right w:val="nil"/>
                <w:between w:val="nil"/>
              </w:pBdr>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b/>
                <w:bCs/>
                <w:color w:val="000000"/>
                <w:sz w:val="20"/>
                <w:szCs w:val="20"/>
              </w:rPr>
              <w:t xml:space="preserve">Materials and Methods: </w:t>
            </w:r>
            <w:r w:rsidRPr="00317DFA">
              <w:rPr>
                <w:rFonts w:ascii="Times New Roman" w:eastAsia="Times New Roman" w:hAnsi="Times New Roman" w:cs="Times New Roman"/>
                <w:color w:val="000000"/>
                <w:sz w:val="20"/>
                <w:szCs w:val="20"/>
              </w:rPr>
              <w:t>This prospective comparative study was conducted over a period of 10 months and included 80 patients with diabetic foot ulcers. Patients were randomly divided into two groups of 40 each. Group I received topical insulin dressing, while Group II received topical phenytoin dressing. Ulcers were assessed at regular intervals for reduction in ulcer size, development of granulation tissue, time to healing, and infection control. Standard diabetic care, including glycemic control and debridement, was provided to all patients. Statistical analysis was performed using appropriate tests, with p &lt; 0.05 considered significant.</w:t>
            </w:r>
          </w:p>
          <w:p w14:paraId="3808143D" w14:textId="77777777" w:rsidR="00147028" w:rsidRPr="00317DFA" w:rsidRDefault="00147028" w:rsidP="00147028">
            <w:pPr>
              <w:pBdr>
                <w:top w:val="nil"/>
                <w:left w:val="nil"/>
                <w:bottom w:val="nil"/>
                <w:right w:val="nil"/>
                <w:between w:val="nil"/>
              </w:pBdr>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b/>
                <w:bCs/>
                <w:color w:val="000000"/>
                <w:sz w:val="20"/>
                <w:szCs w:val="20"/>
              </w:rPr>
              <w:t xml:space="preserve">Results: </w:t>
            </w:r>
            <w:r w:rsidRPr="00317DFA">
              <w:rPr>
                <w:rFonts w:ascii="Times New Roman" w:eastAsia="Times New Roman" w:hAnsi="Times New Roman" w:cs="Times New Roman"/>
                <w:color w:val="000000"/>
                <w:sz w:val="20"/>
                <w:szCs w:val="20"/>
              </w:rPr>
              <w:t>The mean reduction in ulcer size was significantly greater in the topical insulin group compared to the phenytoin group (p &lt; 0.05). Early appearance of healthy granulation tissue was observed in Group I, with a higher percentage of patients showing satisfactory wound healing within a shorter duration. Infection control was comparable between the two groups. The mean duration of healing was significantly shorter in the insulin group, indicating faster wound resolution. No major adverse effects were noted in either group.</w:t>
            </w:r>
          </w:p>
          <w:p w14:paraId="0C5AE072" w14:textId="28FD45E6" w:rsidR="00BE488D" w:rsidRDefault="00147028" w:rsidP="00147028">
            <w:pPr>
              <w:jc w:val="both"/>
              <w:rPr>
                <w:rFonts w:ascii="Times New Roman" w:eastAsia="Times New Roman" w:hAnsi="Times New Roman" w:cs="Times New Roman"/>
                <w:sz w:val="20"/>
                <w:szCs w:val="20"/>
              </w:rPr>
            </w:pPr>
            <w:r w:rsidRPr="00317DFA">
              <w:rPr>
                <w:rFonts w:ascii="Times New Roman" w:eastAsia="Times New Roman" w:hAnsi="Times New Roman" w:cs="Times New Roman"/>
                <w:b/>
                <w:bCs/>
                <w:color w:val="000000"/>
                <w:sz w:val="20"/>
                <w:szCs w:val="20"/>
              </w:rPr>
              <w:t xml:space="preserve">Conclusion: </w:t>
            </w:r>
            <w:r w:rsidRPr="00317DFA">
              <w:rPr>
                <w:rFonts w:ascii="Times New Roman" w:eastAsia="Times New Roman" w:hAnsi="Times New Roman" w:cs="Times New Roman"/>
                <w:color w:val="000000"/>
                <w:sz w:val="20"/>
                <w:szCs w:val="20"/>
              </w:rPr>
              <w:t>Topical insulin was found to be more effective than topical phenytoin in promoting faster and better healing of diabetic foot ulcers. Its ability to enhance granulation tissue formation and accelerate wound contraction makes it a promising, cost-effective therapeutic option. Incorporating topical insulin into routine wound care may improve clinical outcomes and reduce complications associated with diabetic foot ulcers</w:t>
            </w:r>
            <w:r w:rsidR="00000000">
              <w:rPr>
                <w:rFonts w:ascii="Times New Roman" w:eastAsia="Times New Roman" w:hAnsi="Times New Roman" w:cs="Times New Roman"/>
                <w:sz w:val="20"/>
                <w:szCs w:val="20"/>
              </w:rPr>
              <w:t>.</w:t>
            </w:r>
          </w:p>
          <w:p w14:paraId="156137A7" w14:textId="77777777" w:rsidR="00BE488D" w:rsidRDefault="00BE488D">
            <w:pPr>
              <w:jc w:val="both"/>
              <w:rPr>
                <w:rFonts w:ascii="Times New Roman" w:hAnsi="Times New Roman" w:cs="Times New Roman"/>
                <w:sz w:val="20"/>
                <w:szCs w:val="20"/>
              </w:rPr>
            </w:pPr>
          </w:p>
        </w:tc>
      </w:tr>
      <w:tr w:rsidR="00BE488D" w14:paraId="34602888" w14:textId="77777777">
        <w:tc>
          <w:tcPr>
            <w:tcW w:w="1431" w:type="pct"/>
            <w:gridSpan w:val="2"/>
            <w:shd w:val="clear" w:color="auto" w:fill="F2F2F2"/>
          </w:tcPr>
          <w:p w14:paraId="2C99785A" w14:textId="77777777" w:rsidR="00BE488D" w:rsidRDefault="00000000">
            <w:pPr>
              <w:rPr>
                <w:rFonts w:cs="Times New Roman"/>
                <w:i/>
                <w:iCs/>
                <w:sz w:val="16"/>
                <w:szCs w:val="16"/>
              </w:rPr>
            </w:pPr>
            <w:r>
              <w:rPr>
                <w:rFonts w:cs="Times New Roman"/>
                <w:b/>
                <w:bCs/>
                <w:i/>
                <w:iCs/>
                <w:sz w:val="16"/>
                <w:szCs w:val="16"/>
              </w:rPr>
              <w:t xml:space="preserve">Copyright © </w:t>
            </w:r>
            <w:r>
              <w:rPr>
                <w:rFonts w:cs="Times New Roman"/>
                <w:i/>
                <w:iCs/>
                <w:sz w:val="16"/>
                <w:szCs w:val="16"/>
              </w:rPr>
              <w:t>International Journal of Medical and Pharmaceutical Research</w:t>
            </w:r>
          </w:p>
        </w:tc>
        <w:tc>
          <w:tcPr>
            <w:tcW w:w="3569" w:type="pct"/>
          </w:tcPr>
          <w:p w14:paraId="16AAE000" w14:textId="596AFCFA" w:rsidR="00BE488D" w:rsidRDefault="00000000">
            <w:pPr>
              <w:rPr>
                <w:rFonts w:cs="Times New Roman"/>
                <w:i/>
                <w:iCs/>
                <w:sz w:val="19"/>
                <w:szCs w:val="19"/>
              </w:rPr>
            </w:pPr>
            <w:r>
              <w:rPr>
                <w:rFonts w:cs="Times New Roman"/>
                <w:b/>
                <w:bCs/>
                <w:i/>
                <w:iCs/>
                <w:sz w:val="20"/>
                <w:szCs w:val="20"/>
              </w:rPr>
              <w:t>Keywords</w:t>
            </w:r>
            <w:r>
              <w:rPr>
                <w:rFonts w:cs="Times New Roman"/>
                <w:i/>
                <w:iCs/>
                <w:sz w:val="20"/>
                <w:szCs w:val="20"/>
              </w:rPr>
              <w:t>:</w:t>
            </w:r>
            <w:r>
              <w:rPr>
                <w:rFonts w:cs="Times New Roman"/>
                <w:sz w:val="20"/>
                <w:szCs w:val="20"/>
              </w:rPr>
              <w:t xml:space="preserve"> </w:t>
            </w:r>
            <w:r w:rsidR="000241B2" w:rsidRPr="000241B2">
              <w:rPr>
                <w:rFonts w:cs="Times New Roman"/>
                <w:i/>
                <w:iCs/>
                <w:sz w:val="20"/>
                <w:szCs w:val="20"/>
              </w:rPr>
              <w:t>Diabetic foot ulcer, diabetes mellitus, granulation tissue, topical insulin, topical phenytoin, wound healing</w:t>
            </w:r>
            <w:r>
              <w:rPr>
                <w:rFonts w:cs="Times New Roman"/>
                <w:i/>
                <w:iCs/>
                <w:sz w:val="20"/>
                <w:szCs w:val="20"/>
              </w:rPr>
              <w:t>.</w:t>
            </w:r>
          </w:p>
        </w:tc>
      </w:tr>
      <w:bookmarkEnd w:id="0"/>
    </w:tbl>
    <w:p w14:paraId="67FFBCA6" w14:textId="77777777" w:rsidR="00BE488D" w:rsidRDefault="00BE488D">
      <w:pPr>
        <w:pStyle w:val="NoSpacing"/>
        <w:rPr>
          <w:rFonts w:ascii="Times New Roman" w:hAnsi="Times New Roman" w:cs="Times New Roman"/>
          <w:b/>
          <w:bCs/>
          <w:sz w:val="20"/>
          <w:szCs w:val="20"/>
        </w:rPr>
      </w:pPr>
    </w:p>
    <w:p w14:paraId="58F524F0" w14:textId="77777777" w:rsidR="00BE488D" w:rsidRDefault="00000000">
      <w:pPr>
        <w:spacing w:after="0" w:line="240" w:lineRule="auto"/>
        <w:jc w:val="both"/>
        <w:rPr>
          <w:rFonts w:ascii="Times New Roman" w:hAnsi="Times New Roman" w:cs="Times New Roman"/>
          <w:b/>
          <w:bCs/>
          <w:kern w:val="0"/>
          <w:sz w:val="20"/>
          <w:szCs w:val="20"/>
          <w14:ligatures w14:val="none"/>
        </w:rPr>
      </w:pPr>
      <w:r>
        <w:rPr>
          <w:rFonts w:ascii="Times New Roman" w:hAnsi="Times New Roman" w:cs="Times New Roman"/>
          <w:b/>
          <w:bCs/>
          <w:kern w:val="0"/>
          <w:sz w:val="20"/>
          <w:szCs w:val="20"/>
          <w14:ligatures w14:val="none"/>
        </w:rPr>
        <w:t>INTRODUCTION</w:t>
      </w:r>
    </w:p>
    <w:p w14:paraId="61038CCA" w14:textId="77777777" w:rsidR="009535A6" w:rsidRPr="00317DFA" w:rsidRDefault="009535A6" w:rsidP="00CF12D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vertAlign w:val="superscript"/>
        </w:rPr>
      </w:pPr>
      <w:r w:rsidRPr="00317DFA">
        <w:rPr>
          <w:rFonts w:ascii="Times New Roman" w:eastAsia="Times New Roman" w:hAnsi="Times New Roman" w:cs="Times New Roman"/>
          <w:color w:val="000000"/>
          <w:sz w:val="20"/>
          <w:szCs w:val="20"/>
        </w:rPr>
        <w:t>Diabetes mellitus is a global health concern with rapidly increasing prevalence, particularly in developing countries.</w:t>
      </w:r>
      <w:r w:rsidRPr="00317DFA">
        <w:rPr>
          <w:rFonts w:ascii="Times New Roman" w:eastAsia="Times New Roman" w:hAnsi="Times New Roman" w:cs="Times New Roman"/>
          <w:color w:val="000000"/>
          <w:sz w:val="20"/>
          <w:szCs w:val="20"/>
          <w:vertAlign w:val="superscript"/>
        </w:rPr>
        <w:t>1</w:t>
      </w:r>
      <w:r w:rsidRPr="00317DFA">
        <w:rPr>
          <w:rFonts w:ascii="Times New Roman" w:eastAsia="Times New Roman" w:hAnsi="Times New Roman" w:cs="Times New Roman"/>
          <w:color w:val="000000"/>
          <w:sz w:val="20"/>
          <w:szCs w:val="20"/>
        </w:rPr>
        <w:t xml:space="preserve"> Among its numerous complications, diabetic foot ulcers (DFUs) represent one of the most challenging and debilitating conditions, contributing significantly to morbidity, prolonged hospital stay, and healthcare burden.</w:t>
      </w:r>
      <w:r w:rsidRPr="00317DFA">
        <w:rPr>
          <w:rFonts w:ascii="Times New Roman" w:eastAsia="Times New Roman" w:hAnsi="Times New Roman" w:cs="Times New Roman"/>
          <w:color w:val="000000"/>
          <w:sz w:val="20"/>
          <w:szCs w:val="20"/>
          <w:vertAlign w:val="superscript"/>
        </w:rPr>
        <w:t>2</w:t>
      </w:r>
      <w:r w:rsidRPr="00317DFA">
        <w:rPr>
          <w:rFonts w:ascii="Times New Roman" w:eastAsia="Times New Roman" w:hAnsi="Times New Roman" w:cs="Times New Roman"/>
          <w:color w:val="000000"/>
          <w:sz w:val="20"/>
          <w:szCs w:val="20"/>
        </w:rPr>
        <w:t xml:space="preserve"> It is estimated that nearly 15–25% of individuals with diabetes will develop a foot ulcer during their lifetime, with a substantial proportion progressing to infection, gangrene, and eventual amputation. The pathogenesis of DFUs is multifactorial, involving </w:t>
      </w:r>
      <w:r w:rsidRPr="00317DFA">
        <w:rPr>
          <w:rFonts w:ascii="Times New Roman" w:eastAsia="Times New Roman" w:hAnsi="Times New Roman" w:cs="Times New Roman"/>
          <w:color w:val="000000"/>
          <w:sz w:val="20"/>
          <w:szCs w:val="20"/>
        </w:rPr>
        <w:lastRenderedPageBreak/>
        <w:t>peripheral neuropathy, peripheral vascular disease, immunological impairment, and repeated trauma, all of which contribute to delayed wound healing.</w:t>
      </w:r>
      <w:r w:rsidRPr="00317DFA">
        <w:rPr>
          <w:rFonts w:ascii="Times New Roman" w:eastAsia="Times New Roman" w:hAnsi="Times New Roman" w:cs="Times New Roman"/>
          <w:color w:val="000000"/>
          <w:sz w:val="20"/>
          <w:szCs w:val="20"/>
          <w:vertAlign w:val="superscript"/>
        </w:rPr>
        <w:t>4</w:t>
      </w:r>
    </w:p>
    <w:p w14:paraId="5420AF58" w14:textId="77777777" w:rsidR="00CF12DB" w:rsidRDefault="00CF12DB" w:rsidP="00CF12D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603D100D" w14:textId="3CBDB049" w:rsidR="009535A6" w:rsidRPr="00317DFA" w:rsidRDefault="009535A6" w:rsidP="00CF12D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vertAlign w:val="superscript"/>
        </w:rPr>
      </w:pPr>
      <w:r w:rsidRPr="00317DFA">
        <w:rPr>
          <w:rFonts w:ascii="Times New Roman" w:eastAsia="Times New Roman" w:hAnsi="Times New Roman" w:cs="Times New Roman"/>
          <w:color w:val="000000"/>
          <w:sz w:val="20"/>
          <w:szCs w:val="20"/>
        </w:rPr>
        <w:t>Wound healing in diabetic patients is often impaired due to poor glycemic control, reduced growth factor activity, diminished angiogenesis, and defective collagen synthesis. These factors result in chronic, non-healing ulcers that are prone to secondary infections.</w:t>
      </w:r>
      <w:r w:rsidRPr="00317DFA">
        <w:rPr>
          <w:rFonts w:ascii="Times New Roman" w:eastAsia="Times New Roman" w:hAnsi="Times New Roman" w:cs="Times New Roman"/>
          <w:color w:val="000000"/>
          <w:sz w:val="20"/>
          <w:szCs w:val="20"/>
          <w:vertAlign w:val="superscript"/>
        </w:rPr>
        <w:t>5</w:t>
      </w:r>
      <w:r w:rsidRPr="00317DFA">
        <w:rPr>
          <w:rFonts w:ascii="Times New Roman" w:eastAsia="Times New Roman" w:hAnsi="Times New Roman" w:cs="Times New Roman"/>
          <w:color w:val="000000"/>
          <w:sz w:val="20"/>
          <w:szCs w:val="20"/>
        </w:rPr>
        <w:t xml:space="preserve"> Conventional management includes glycemic control, debridement, infection management, pressure offloading, and appropriate wound dressings. However, despite advances in wound care, achieving rapid and complete healing remains a significant challenge, necessitating the exploration of newer therapeutic modalities that can enhance the healing process.</w:t>
      </w:r>
      <w:r w:rsidRPr="00317DFA">
        <w:rPr>
          <w:rFonts w:ascii="Times New Roman" w:eastAsia="Times New Roman" w:hAnsi="Times New Roman" w:cs="Times New Roman"/>
          <w:color w:val="000000"/>
          <w:sz w:val="20"/>
          <w:szCs w:val="20"/>
          <w:vertAlign w:val="superscript"/>
        </w:rPr>
        <w:t>6,7</w:t>
      </w:r>
    </w:p>
    <w:p w14:paraId="1151FD2F" w14:textId="77777777" w:rsidR="00CF12DB" w:rsidRDefault="00CF12DB" w:rsidP="00CF12D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219DA76E" w14:textId="04F3A01C" w:rsidR="009535A6" w:rsidRPr="00317DFA" w:rsidRDefault="009535A6" w:rsidP="00CF12D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vertAlign w:val="superscript"/>
        </w:rPr>
      </w:pPr>
      <w:r w:rsidRPr="00317DFA">
        <w:rPr>
          <w:rFonts w:ascii="Times New Roman" w:eastAsia="Times New Roman" w:hAnsi="Times New Roman" w:cs="Times New Roman"/>
          <w:color w:val="000000"/>
          <w:sz w:val="20"/>
          <w:szCs w:val="20"/>
        </w:rPr>
        <w:t>Topical agents have gained increasing attention in recent years due to their ability to act directly at the wound site with minimal systemic side effects. Among these, topical insulin has emerged as a promising option due to its anabolic and growth-promoting effects.</w:t>
      </w:r>
      <w:r w:rsidRPr="00317DFA">
        <w:rPr>
          <w:rFonts w:ascii="Times New Roman" w:eastAsia="Times New Roman" w:hAnsi="Times New Roman" w:cs="Times New Roman"/>
          <w:color w:val="000000"/>
          <w:sz w:val="20"/>
          <w:szCs w:val="20"/>
          <w:vertAlign w:val="superscript"/>
        </w:rPr>
        <w:t>8</w:t>
      </w:r>
      <w:r w:rsidRPr="00317DFA">
        <w:rPr>
          <w:rFonts w:ascii="Times New Roman" w:eastAsia="Times New Roman" w:hAnsi="Times New Roman" w:cs="Times New Roman"/>
          <w:color w:val="000000"/>
          <w:sz w:val="20"/>
          <w:szCs w:val="20"/>
        </w:rPr>
        <w:t xml:space="preserve"> Insulin enhances cellular proliferation, promotes protein synthesis, stimulates angiogenesis, and accelerates granulation tissue formation, thereby facilitating faster wound healing. Several studies have demonstrated that topical insulin can significantly reduce wound size and improve healing rates in chronic ulcers.</w:t>
      </w:r>
      <w:r w:rsidRPr="00317DFA">
        <w:rPr>
          <w:rFonts w:ascii="Times New Roman" w:eastAsia="Times New Roman" w:hAnsi="Times New Roman" w:cs="Times New Roman"/>
          <w:color w:val="000000"/>
          <w:sz w:val="20"/>
          <w:szCs w:val="20"/>
          <w:vertAlign w:val="superscript"/>
        </w:rPr>
        <w:t>9</w:t>
      </w:r>
    </w:p>
    <w:p w14:paraId="452BCC91" w14:textId="77777777" w:rsidR="00CF12DB" w:rsidRDefault="00CF12DB" w:rsidP="00CF12D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382CDF3C" w14:textId="116AB198" w:rsidR="009535A6" w:rsidRPr="00317DFA" w:rsidRDefault="009535A6" w:rsidP="00CF12D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vertAlign w:val="superscript"/>
        </w:rPr>
      </w:pPr>
      <w:r w:rsidRPr="00317DFA">
        <w:rPr>
          <w:rFonts w:ascii="Times New Roman" w:eastAsia="Times New Roman" w:hAnsi="Times New Roman" w:cs="Times New Roman"/>
          <w:color w:val="000000"/>
          <w:sz w:val="20"/>
          <w:szCs w:val="20"/>
        </w:rPr>
        <w:t>Phenytoin, a well-known anticonvulsant drug, has also been repurposed for wound healing due to its observed side effect of gingival hyperplasia, which reflects its capacity to stimulate fibroblast proliferation and collagen deposition.</w:t>
      </w:r>
      <w:r w:rsidRPr="00317DFA">
        <w:rPr>
          <w:rFonts w:ascii="Times New Roman" w:eastAsia="Times New Roman" w:hAnsi="Times New Roman" w:cs="Times New Roman"/>
          <w:color w:val="000000"/>
          <w:sz w:val="20"/>
          <w:szCs w:val="20"/>
          <w:vertAlign w:val="superscript"/>
        </w:rPr>
        <w:t>10</w:t>
      </w:r>
      <w:r w:rsidRPr="00317DFA">
        <w:rPr>
          <w:rFonts w:ascii="Times New Roman" w:eastAsia="Times New Roman" w:hAnsi="Times New Roman" w:cs="Times New Roman"/>
          <w:color w:val="000000"/>
          <w:sz w:val="20"/>
          <w:szCs w:val="20"/>
        </w:rPr>
        <w:t xml:space="preserve"> Topical phenytoin has been shown to enhance granulation tissue formation, reduce bacterial load, and promote wound contraction. Its low cost and ease of application make it an attractive alternative, particularly in resource-limited settings.</w:t>
      </w:r>
      <w:r w:rsidRPr="00317DFA">
        <w:rPr>
          <w:rFonts w:ascii="Times New Roman" w:eastAsia="Times New Roman" w:hAnsi="Times New Roman" w:cs="Times New Roman"/>
          <w:color w:val="000000"/>
          <w:sz w:val="20"/>
          <w:szCs w:val="20"/>
          <w:vertAlign w:val="superscript"/>
        </w:rPr>
        <w:t>11</w:t>
      </w:r>
    </w:p>
    <w:p w14:paraId="6F51A486" w14:textId="77777777" w:rsidR="00CF12DB" w:rsidRDefault="00CF12DB" w:rsidP="00CF12D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2C7CC416" w14:textId="3C53A0EE" w:rsidR="009535A6" w:rsidRPr="00317DFA" w:rsidRDefault="009535A6" w:rsidP="00CF12D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color w:val="000000"/>
          <w:sz w:val="20"/>
          <w:szCs w:val="20"/>
        </w:rPr>
        <w:t>Despite the documented benefits of both topical insulin and phenytoin, there is limited comparative evidence evaluating their relative efficacy in the management of diabetic foot ulcers. Given the high burden of diabetic foot ulcers and the limitations of existing treatment strategies, there is a need to identify effective, economical, and easily applicable topical agents that can accelerate wound healing. Both insulin and phenytoin have shown encouraging results individually, but direct comparison is necessary to establish their relative effectiveness in clinical practice. By evaluating parameters such as ulcer size reduction, granulation tissue formation, and healing duration, the study seeks to generate evidence that can guide clinicians in selecting the most effective topical therapy for improved patient outcomes.</w:t>
      </w:r>
    </w:p>
    <w:p w14:paraId="497B37D0" w14:textId="77777777" w:rsidR="009535A6" w:rsidRPr="00317DFA" w:rsidRDefault="009535A6" w:rsidP="009535A6">
      <w:pPr>
        <w:spacing w:before="240"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b/>
          <w:bCs/>
          <w:sz w:val="20"/>
          <w:szCs w:val="20"/>
        </w:rPr>
        <w:t>AIMS AND OBJECTIVES</w:t>
      </w:r>
    </w:p>
    <w:p w14:paraId="17190CC4" w14:textId="77777777" w:rsidR="009535A6" w:rsidRPr="00317DFA" w:rsidRDefault="009535A6" w:rsidP="009535A6">
      <w:pPr>
        <w:numPr>
          <w:ilvl w:val="0"/>
          <w:numId w:val="49"/>
        </w:numPr>
        <w:pBdr>
          <w:top w:val="nil"/>
          <w:left w:val="nil"/>
          <w:bottom w:val="nil"/>
          <w:right w:val="nil"/>
          <w:between w:val="nil"/>
        </w:pBdr>
        <w:spacing w:line="240" w:lineRule="auto"/>
        <w:jc w:val="both"/>
        <w:rPr>
          <w:rFonts w:ascii="Times New Roman" w:hAnsi="Times New Roman" w:cs="Times New Roman"/>
          <w:color w:val="000000"/>
          <w:sz w:val="20"/>
          <w:szCs w:val="20"/>
        </w:rPr>
      </w:pPr>
      <w:r w:rsidRPr="00317DFA">
        <w:rPr>
          <w:rFonts w:ascii="Times New Roman" w:eastAsia="Times New Roman" w:hAnsi="Times New Roman" w:cs="Times New Roman"/>
          <w:color w:val="000000"/>
          <w:sz w:val="20"/>
          <w:szCs w:val="20"/>
        </w:rPr>
        <w:t>To compare the efficacy of topical insulin versus topical phenytoin in promoting healing of diabetic foot ulcers.</w:t>
      </w:r>
    </w:p>
    <w:p w14:paraId="370B8BC0" w14:textId="77777777" w:rsidR="009535A6" w:rsidRPr="00317DFA" w:rsidRDefault="009535A6" w:rsidP="009535A6">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MATERIALS AND METHODS</w:t>
      </w:r>
    </w:p>
    <w:p w14:paraId="50FD28B4" w14:textId="77777777" w:rsidR="009535A6" w:rsidRPr="00317DFA" w:rsidRDefault="009535A6" w:rsidP="00CF12D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color w:val="000000"/>
          <w:sz w:val="20"/>
          <w:szCs w:val="20"/>
        </w:rPr>
        <w:t>The present prospective comparative study was conducted over a period of 10 months from February 2025 to November 2025 in department of General Surgery at Sree Mookambika Institute of Medical Sciences. A total of 80 patients with diabetic foot ulcers attending the Department of General Surgery were included in the study after obtaining informed written consent. Patients aged above 18 years with clinically diagnosed diabetic foot ulcers of Wagner grade 1 to 4 were considered eligible for inclusion. Patients with critical limb ischemia, osteomyelitis, malignant ulcers, severe systemic illness, or known hypersensitivity to insulin or phenytoin were excluded from the study.</w:t>
      </w:r>
    </w:p>
    <w:p w14:paraId="6481A413" w14:textId="77777777" w:rsidR="00CF12DB" w:rsidRDefault="00CF12DB" w:rsidP="00CF12D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1B0F6712" w14:textId="2A218F42" w:rsidR="009535A6" w:rsidRPr="00317DFA" w:rsidRDefault="009535A6" w:rsidP="00CF12D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color w:val="000000"/>
          <w:sz w:val="20"/>
          <w:szCs w:val="20"/>
        </w:rPr>
        <w:t xml:space="preserve">The selected patients were randomly allocated into two groups of 40 each. </w:t>
      </w:r>
    </w:p>
    <w:p w14:paraId="38F1E3AC" w14:textId="77777777" w:rsidR="009535A6" w:rsidRPr="00317DFA" w:rsidRDefault="009535A6" w:rsidP="009535A6">
      <w:pPr>
        <w:numPr>
          <w:ilvl w:val="0"/>
          <w:numId w:val="50"/>
        </w:numPr>
        <w:pBdr>
          <w:top w:val="nil"/>
          <w:left w:val="nil"/>
          <w:bottom w:val="nil"/>
          <w:right w:val="nil"/>
          <w:between w:val="nil"/>
        </w:pBdr>
        <w:spacing w:after="0" w:line="240" w:lineRule="auto"/>
        <w:jc w:val="both"/>
        <w:rPr>
          <w:rFonts w:ascii="Times New Roman" w:hAnsi="Times New Roman" w:cs="Times New Roman"/>
          <w:sz w:val="20"/>
          <w:szCs w:val="20"/>
        </w:rPr>
      </w:pPr>
      <w:r w:rsidRPr="00317DFA">
        <w:rPr>
          <w:rFonts w:ascii="Times New Roman" w:eastAsia="Times New Roman" w:hAnsi="Times New Roman" w:cs="Times New Roman"/>
          <w:color w:val="000000"/>
          <w:sz w:val="20"/>
          <w:szCs w:val="20"/>
        </w:rPr>
        <w:t>Group I patients received topical insulin dressing</w:t>
      </w:r>
    </w:p>
    <w:p w14:paraId="32B817ED" w14:textId="77777777" w:rsidR="009535A6" w:rsidRPr="00317DFA" w:rsidRDefault="009535A6" w:rsidP="009535A6">
      <w:pPr>
        <w:numPr>
          <w:ilvl w:val="0"/>
          <w:numId w:val="50"/>
        </w:numPr>
        <w:pBdr>
          <w:top w:val="nil"/>
          <w:left w:val="nil"/>
          <w:bottom w:val="nil"/>
          <w:right w:val="nil"/>
          <w:between w:val="nil"/>
        </w:pBdr>
        <w:spacing w:after="0" w:line="240" w:lineRule="auto"/>
        <w:jc w:val="both"/>
        <w:rPr>
          <w:rFonts w:ascii="Times New Roman" w:hAnsi="Times New Roman" w:cs="Times New Roman"/>
          <w:sz w:val="20"/>
          <w:szCs w:val="20"/>
        </w:rPr>
      </w:pPr>
      <w:r w:rsidRPr="00317DFA">
        <w:rPr>
          <w:rFonts w:ascii="Times New Roman" w:eastAsia="Times New Roman" w:hAnsi="Times New Roman" w:cs="Times New Roman"/>
          <w:color w:val="000000"/>
          <w:sz w:val="20"/>
          <w:szCs w:val="20"/>
        </w:rPr>
        <w:t xml:space="preserve">Group II patients received topical phenytoin dressing </w:t>
      </w:r>
    </w:p>
    <w:p w14:paraId="455F5C8F" w14:textId="77777777" w:rsidR="00CF12DB" w:rsidRDefault="00CF12DB" w:rsidP="00CF12D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5B7A9BCA" w14:textId="5C806995" w:rsidR="009535A6" w:rsidRPr="00317DFA" w:rsidRDefault="009535A6" w:rsidP="00CF12D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color w:val="000000"/>
          <w:sz w:val="20"/>
          <w:szCs w:val="20"/>
        </w:rPr>
        <w:t>A detailed clinical evaluation was performed for all patients, including history, general and local examination, and relevant laboratory investigations such as fasting and postprandial blood glucose, HbA1c, complete blood count, and renal function tests. Ulcer characteristics including size, site, duration, and grade were documented at baseline.</w:t>
      </w:r>
    </w:p>
    <w:p w14:paraId="08F76246" w14:textId="77777777" w:rsidR="00CF12DB" w:rsidRDefault="00CF12DB" w:rsidP="00CF12D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9B7732C" w14:textId="526BB479" w:rsidR="009535A6" w:rsidRPr="00317DFA" w:rsidRDefault="009535A6" w:rsidP="00CF12D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color w:val="000000"/>
          <w:sz w:val="20"/>
          <w:szCs w:val="20"/>
        </w:rPr>
        <w:t>All patients received standard wound care protocols, including surgical debridement, appropriate antibiotic therapy based on culture sensitivity, and strict glycemic control using insulin or oral hypoglycemic agents. In Group I, regular insulin diluted in normal saline was applied topically over the ulcer surface and covered with sterile dressing. In Group II, topical phenytoin solution prepared from injectable phenytoin was applied in a similar manner. Dressings were performed daily under aseptic precautions.</w:t>
      </w:r>
    </w:p>
    <w:p w14:paraId="2E100670" w14:textId="77777777" w:rsidR="00CF12DB" w:rsidRDefault="00CF12DB" w:rsidP="00CF12D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5DCA09D8" w14:textId="1581C284" w:rsidR="009535A6" w:rsidRPr="00317DFA" w:rsidRDefault="009535A6" w:rsidP="00CF12D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color w:val="000000"/>
          <w:sz w:val="20"/>
          <w:szCs w:val="20"/>
        </w:rPr>
        <w:t>Patients were followed up at regular intervals, and wound assessment was carried out weekly. The primary outcome measures included reduction in ulcer size, rate of granulation tissue formation, and time taken for complete healing. Secondary outcomes included infection control and need for surgical intervention. Ulcer size was measured using standardized techniques, and percentage reduction was calculated over time.</w:t>
      </w:r>
    </w:p>
    <w:p w14:paraId="54105B6C" w14:textId="77777777" w:rsidR="00CF12DB" w:rsidRDefault="00CF12DB" w:rsidP="00CF12D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2AE8796A" w14:textId="37D3D147" w:rsidR="009535A6" w:rsidRPr="00317DFA" w:rsidRDefault="009535A6" w:rsidP="00CF12D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color w:val="000000"/>
          <w:sz w:val="20"/>
          <w:szCs w:val="20"/>
        </w:rPr>
        <w:t>All collected data were systematically recorded and analyzed using appropriate statistical methods. Continuous variables were expressed as mean ± standard deviation, and categorical variables were expressed as percentages. Statistical analysis was performed using Student’s t-test and chi-square test, with a p value of less than 0.05 considered statistically significant.</w:t>
      </w:r>
    </w:p>
    <w:p w14:paraId="33869819" w14:textId="77777777" w:rsidR="009535A6" w:rsidRPr="00317DFA" w:rsidRDefault="009535A6" w:rsidP="009535A6">
      <w:pPr>
        <w:spacing w:before="240"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lastRenderedPageBreak/>
        <w:t>OBSERVATION AND RESULTS</w:t>
      </w:r>
    </w:p>
    <w:p w14:paraId="4D85C096" w14:textId="2BD0479B" w:rsidR="009535A6"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Most patients belonged to the 51–60 years age group, indicating higher prevalence of diabetic foot ulcers in middle-aged and elderly individuals. The age distribution between the two groups was comparable (p = 0.62). (Table 1)</w:t>
      </w:r>
    </w:p>
    <w:p w14:paraId="6452E6F0" w14:textId="77777777" w:rsidR="00CF12DB" w:rsidRDefault="00CF12DB" w:rsidP="00CF12DB">
      <w:pPr>
        <w:spacing w:after="0" w:line="240" w:lineRule="auto"/>
        <w:jc w:val="center"/>
        <w:rPr>
          <w:rFonts w:ascii="Times New Roman" w:eastAsia="Times New Roman" w:hAnsi="Times New Roman" w:cs="Times New Roman"/>
          <w:b/>
          <w:bCs/>
          <w:sz w:val="20"/>
          <w:szCs w:val="20"/>
        </w:rPr>
      </w:pPr>
    </w:p>
    <w:p w14:paraId="1CC6B2CA" w14:textId="587D91E5" w:rsidR="00CF12DB" w:rsidRPr="00CF12DB" w:rsidRDefault="00CF12DB" w:rsidP="00CF12DB">
      <w:pPr>
        <w:spacing w:after="0" w:line="240" w:lineRule="auto"/>
        <w:jc w:val="center"/>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Table 1: Age Distribution</w:t>
      </w:r>
    </w:p>
    <w:tbl>
      <w:tblPr>
        <w:tblW w:w="6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9"/>
        <w:gridCol w:w="1731"/>
        <w:gridCol w:w="1826"/>
        <w:gridCol w:w="1439"/>
      </w:tblGrid>
      <w:tr w:rsidR="009535A6" w:rsidRPr="00317DFA" w14:paraId="2CFEB5E3" w14:textId="77777777" w:rsidTr="00E67BE9">
        <w:trPr>
          <w:trHeight w:val="336"/>
          <w:jc w:val="center"/>
        </w:trPr>
        <w:tc>
          <w:tcPr>
            <w:tcW w:w="1459" w:type="dxa"/>
          </w:tcPr>
          <w:p w14:paraId="1F3A1B9A" w14:textId="77777777" w:rsidR="009535A6" w:rsidRPr="00317DFA" w:rsidRDefault="009535A6" w:rsidP="00E67BE9">
            <w:pPr>
              <w:spacing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Age (Years)</w:t>
            </w:r>
          </w:p>
        </w:tc>
        <w:tc>
          <w:tcPr>
            <w:tcW w:w="1731" w:type="dxa"/>
          </w:tcPr>
          <w:p w14:paraId="1341A602" w14:textId="77777777" w:rsidR="009535A6" w:rsidRPr="00317DFA" w:rsidRDefault="009535A6" w:rsidP="00E67BE9">
            <w:pPr>
              <w:spacing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Group I n (%)</w:t>
            </w:r>
          </w:p>
        </w:tc>
        <w:tc>
          <w:tcPr>
            <w:tcW w:w="1826" w:type="dxa"/>
          </w:tcPr>
          <w:p w14:paraId="588A6401" w14:textId="77777777" w:rsidR="009535A6" w:rsidRPr="00317DFA" w:rsidRDefault="009535A6" w:rsidP="00E67BE9">
            <w:pPr>
              <w:spacing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Group II n (%)</w:t>
            </w:r>
          </w:p>
        </w:tc>
        <w:tc>
          <w:tcPr>
            <w:tcW w:w="1439" w:type="dxa"/>
          </w:tcPr>
          <w:p w14:paraId="502B6CEE" w14:textId="77777777" w:rsidR="009535A6" w:rsidRPr="00317DFA" w:rsidRDefault="009535A6" w:rsidP="00E67BE9">
            <w:pPr>
              <w:spacing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Total n (%)</w:t>
            </w:r>
          </w:p>
        </w:tc>
      </w:tr>
      <w:tr w:rsidR="009535A6" w:rsidRPr="00317DFA" w14:paraId="0C3C344C" w14:textId="77777777" w:rsidTr="00E67BE9">
        <w:trPr>
          <w:trHeight w:val="336"/>
          <w:jc w:val="center"/>
        </w:trPr>
        <w:tc>
          <w:tcPr>
            <w:tcW w:w="1459" w:type="dxa"/>
          </w:tcPr>
          <w:p w14:paraId="42948D9F" w14:textId="77777777" w:rsidR="009535A6" w:rsidRPr="00317DFA" w:rsidRDefault="009535A6" w:rsidP="00E67BE9">
            <w:pPr>
              <w:spacing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30–40</w:t>
            </w:r>
          </w:p>
        </w:tc>
        <w:tc>
          <w:tcPr>
            <w:tcW w:w="1731" w:type="dxa"/>
          </w:tcPr>
          <w:p w14:paraId="5809E387" w14:textId="77777777" w:rsidR="009535A6" w:rsidRPr="00317DFA" w:rsidRDefault="009535A6" w:rsidP="00E67BE9">
            <w:pPr>
              <w:spacing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4 (10.0)</w:t>
            </w:r>
          </w:p>
        </w:tc>
        <w:tc>
          <w:tcPr>
            <w:tcW w:w="1826" w:type="dxa"/>
          </w:tcPr>
          <w:p w14:paraId="0E6A98EC" w14:textId="77777777" w:rsidR="009535A6" w:rsidRPr="00317DFA" w:rsidRDefault="009535A6" w:rsidP="00E67BE9">
            <w:pPr>
              <w:spacing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5 (12.5)</w:t>
            </w:r>
          </w:p>
        </w:tc>
        <w:tc>
          <w:tcPr>
            <w:tcW w:w="1439" w:type="dxa"/>
          </w:tcPr>
          <w:p w14:paraId="2A795846" w14:textId="77777777" w:rsidR="009535A6" w:rsidRPr="00317DFA" w:rsidRDefault="009535A6" w:rsidP="00E67BE9">
            <w:pPr>
              <w:spacing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9 (11.25)</w:t>
            </w:r>
          </w:p>
        </w:tc>
      </w:tr>
      <w:tr w:rsidR="009535A6" w:rsidRPr="00317DFA" w14:paraId="7FC65774" w14:textId="77777777" w:rsidTr="00E67BE9">
        <w:trPr>
          <w:trHeight w:val="336"/>
          <w:jc w:val="center"/>
        </w:trPr>
        <w:tc>
          <w:tcPr>
            <w:tcW w:w="1459" w:type="dxa"/>
          </w:tcPr>
          <w:p w14:paraId="7CAF0A4B" w14:textId="77777777" w:rsidR="009535A6" w:rsidRPr="00317DFA" w:rsidRDefault="009535A6" w:rsidP="00E67BE9">
            <w:pPr>
              <w:spacing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41–50</w:t>
            </w:r>
          </w:p>
        </w:tc>
        <w:tc>
          <w:tcPr>
            <w:tcW w:w="1731" w:type="dxa"/>
          </w:tcPr>
          <w:p w14:paraId="622AD269" w14:textId="77777777" w:rsidR="009535A6" w:rsidRPr="00317DFA" w:rsidRDefault="009535A6" w:rsidP="00E67BE9">
            <w:pPr>
              <w:spacing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9 (22.5)</w:t>
            </w:r>
          </w:p>
        </w:tc>
        <w:tc>
          <w:tcPr>
            <w:tcW w:w="1826" w:type="dxa"/>
          </w:tcPr>
          <w:p w14:paraId="1FD6E707" w14:textId="77777777" w:rsidR="009535A6" w:rsidRPr="00317DFA" w:rsidRDefault="009535A6" w:rsidP="00E67BE9">
            <w:pPr>
              <w:spacing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10 (25.0)</w:t>
            </w:r>
          </w:p>
        </w:tc>
        <w:tc>
          <w:tcPr>
            <w:tcW w:w="1439" w:type="dxa"/>
          </w:tcPr>
          <w:p w14:paraId="1269CC11" w14:textId="77777777" w:rsidR="009535A6" w:rsidRPr="00317DFA" w:rsidRDefault="009535A6" w:rsidP="00E67BE9">
            <w:pPr>
              <w:spacing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19 (23.75)</w:t>
            </w:r>
          </w:p>
        </w:tc>
      </w:tr>
      <w:tr w:rsidR="009535A6" w:rsidRPr="00317DFA" w14:paraId="244FDA4C" w14:textId="77777777" w:rsidTr="00E67BE9">
        <w:trPr>
          <w:trHeight w:val="336"/>
          <w:jc w:val="center"/>
        </w:trPr>
        <w:tc>
          <w:tcPr>
            <w:tcW w:w="1459" w:type="dxa"/>
          </w:tcPr>
          <w:p w14:paraId="7715EE94" w14:textId="77777777" w:rsidR="009535A6" w:rsidRPr="00317DFA" w:rsidRDefault="009535A6" w:rsidP="00E67BE9">
            <w:pPr>
              <w:spacing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51–60</w:t>
            </w:r>
          </w:p>
        </w:tc>
        <w:tc>
          <w:tcPr>
            <w:tcW w:w="1731" w:type="dxa"/>
          </w:tcPr>
          <w:p w14:paraId="1F6EA445" w14:textId="77777777" w:rsidR="009535A6" w:rsidRPr="00317DFA" w:rsidRDefault="009535A6" w:rsidP="00E67BE9">
            <w:pPr>
              <w:spacing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15 (37.5)</w:t>
            </w:r>
          </w:p>
        </w:tc>
        <w:tc>
          <w:tcPr>
            <w:tcW w:w="1826" w:type="dxa"/>
          </w:tcPr>
          <w:p w14:paraId="72A0B252" w14:textId="77777777" w:rsidR="009535A6" w:rsidRPr="00317DFA" w:rsidRDefault="009535A6" w:rsidP="00E67BE9">
            <w:pPr>
              <w:spacing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13 (32.5)</w:t>
            </w:r>
          </w:p>
        </w:tc>
        <w:tc>
          <w:tcPr>
            <w:tcW w:w="1439" w:type="dxa"/>
          </w:tcPr>
          <w:p w14:paraId="19E5EA07" w14:textId="77777777" w:rsidR="009535A6" w:rsidRPr="00317DFA" w:rsidRDefault="009535A6" w:rsidP="00E67BE9">
            <w:pPr>
              <w:spacing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28 (35.0)</w:t>
            </w:r>
          </w:p>
        </w:tc>
      </w:tr>
      <w:tr w:rsidR="009535A6" w:rsidRPr="00317DFA" w14:paraId="5380ED52" w14:textId="77777777" w:rsidTr="00E67BE9">
        <w:trPr>
          <w:trHeight w:val="336"/>
          <w:jc w:val="center"/>
        </w:trPr>
        <w:tc>
          <w:tcPr>
            <w:tcW w:w="1459" w:type="dxa"/>
          </w:tcPr>
          <w:p w14:paraId="26766197" w14:textId="77777777" w:rsidR="009535A6" w:rsidRPr="00317DFA" w:rsidRDefault="009535A6" w:rsidP="00E67BE9">
            <w:pPr>
              <w:spacing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61–70</w:t>
            </w:r>
          </w:p>
        </w:tc>
        <w:tc>
          <w:tcPr>
            <w:tcW w:w="1731" w:type="dxa"/>
          </w:tcPr>
          <w:p w14:paraId="268A9860" w14:textId="77777777" w:rsidR="009535A6" w:rsidRPr="00317DFA" w:rsidRDefault="009535A6" w:rsidP="00E67BE9">
            <w:pPr>
              <w:spacing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8 (20.0)</w:t>
            </w:r>
          </w:p>
        </w:tc>
        <w:tc>
          <w:tcPr>
            <w:tcW w:w="1826" w:type="dxa"/>
          </w:tcPr>
          <w:p w14:paraId="2E046F65" w14:textId="77777777" w:rsidR="009535A6" w:rsidRPr="00317DFA" w:rsidRDefault="009535A6" w:rsidP="00E67BE9">
            <w:pPr>
              <w:spacing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9 (22.5)</w:t>
            </w:r>
          </w:p>
        </w:tc>
        <w:tc>
          <w:tcPr>
            <w:tcW w:w="1439" w:type="dxa"/>
          </w:tcPr>
          <w:p w14:paraId="7B324B55" w14:textId="77777777" w:rsidR="009535A6" w:rsidRPr="00317DFA" w:rsidRDefault="009535A6" w:rsidP="00E67BE9">
            <w:pPr>
              <w:spacing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17 (21.25)</w:t>
            </w:r>
          </w:p>
        </w:tc>
      </w:tr>
      <w:tr w:rsidR="009535A6" w:rsidRPr="00317DFA" w14:paraId="66BAF29D" w14:textId="77777777" w:rsidTr="00E67BE9">
        <w:trPr>
          <w:trHeight w:val="336"/>
          <w:jc w:val="center"/>
        </w:trPr>
        <w:tc>
          <w:tcPr>
            <w:tcW w:w="1459" w:type="dxa"/>
          </w:tcPr>
          <w:p w14:paraId="141D3CEE" w14:textId="77777777" w:rsidR="009535A6" w:rsidRPr="00317DFA" w:rsidRDefault="009535A6" w:rsidP="00E67BE9">
            <w:pPr>
              <w:spacing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&gt;70</w:t>
            </w:r>
          </w:p>
        </w:tc>
        <w:tc>
          <w:tcPr>
            <w:tcW w:w="1731" w:type="dxa"/>
          </w:tcPr>
          <w:p w14:paraId="40B73DA5" w14:textId="77777777" w:rsidR="009535A6" w:rsidRPr="00317DFA" w:rsidRDefault="009535A6" w:rsidP="00E67BE9">
            <w:pPr>
              <w:spacing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4 (10.0)</w:t>
            </w:r>
          </w:p>
        </w:tc>
        <w:tc>
          <w:tcPr>
            <w:tcW w:w="1826" w:type="dxa"/>
          </w:tcPr>
          <w:p w14:paraId="50C4ABD9" w14:textId="77777777" w:rsidR="009535A6" w:rsidRPr="00317DFA" w:rsidRDefault="009535A6" w:rsidP="00E67BE9">
            <w:pPr>
              <w:spacing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3 (7.5)</w:t>
            </w:r>
          </w:p>
        </w:tc>
        <w:tc>
          <w:tcPr>
            <w:tcW w:w="1439" w:type="dxa"/>
          </w:tcPr>
          <w:p w14:paraId="2401738F" w14:textId="77777777" w:rsidR="009535A6" w:rsidRPr="00317DFA" w:rsidRDefault="009535A6" w:rsidP="00E67BE9">
            <w:pPr>
              <w:spacing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7 (8.75)</w:t>
            </w:r>
          </w:p>
        </w:tc>
      </w:tr>
      <w:tr w:rsidR="009535A6" w:rsidRPr="00317DFA" w14:paraId="587EB931" w14:textId="77777777" w:rsidTr="00E67BE9">
        <w:trPr>
          <w:trHeight w:val="336"/>
          <w:jc w:val="center"/>
        </w:trPr>
        <w:tc>
          <w:tcPr>
            <w:tcW w:w="1459" w:type="dxa"/>
          </w:tcPr>
          <w:p w14:paraId="2CFA5DAF" w14:textId="77777777" w:rsidR="009535A6" w:rsidRPr="00317DFA" w:rsidRDefault="009535A6" w:rsidP="00E67BE9">
            <w:pPr>
              <w:spacing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b/>
                <w:bCs/>
                <w:sz w:val="20"/>
                <w:szCs w:val="20"/>
              </w:rPr>
              <w:t>Total</w:t>
            </w:r>
          </w:p>
        </w:tc>
        <w:tc>
          <w:tcPr>
            <w:tcW w:w="1731" w:type="dxa"/>
          </w:tcPr>
          <w:p w14:paraId="1BE8C497" w14:textId="77777777" w:rsidR="009535A6" w:rsidRPr="00317DFA" w:rsidRDefault="009535A6" w:rsidP="00E67BE9">
            <w:pPr>
              <w:spacing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40 (100)</w:t>
            </w:r>
          </w:p>
        </w:tc>
        <w:tc>
          <w:tcPr>
            <w:tcW w:w="1826" w:type="dxa"/>
          </w:tcPr>
          <w:p w14:paraId="4BCA894E" w14:textId="77777777" w:rsidR="009535A6" w:rsidRPr="00317DFA" w:rsidRDefault="009535A6" w:rsidP="00E67BE9">
            <w:pPr>
              <w:spacing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40 (100)</w:t>
            </w:r>
          </w:p>
        </w:tc>
        <w:tc>
          <w:tcPr>
            <w:tcW w:w="1439" w:type="dxa"/>
          </w:tcPr>
          <w:p w14:paraId="340254DF" w14:textId="77777777" w:rsidR="009535A6" w:rsidRPr="00317DFA" w:rsidRDefault="009535A6" w:rsidP="00E67BE9">
            <w:pPr>
              <w:spacing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80 (100)</w:t>
            </w:r>
          </w:p>
        </w:tc>
      </w:tr>
    </w:tbl>
    <w:p w14:paraId="53126365" w14:textId="77777777" w:rsidR="00CF12DB" w:rsidRDefault="00CF12DB" w:rsidP="00CF12DB">
      <w:pPr>
        <w:spacing w:after="0" w:line="240" w:lineRule="auto"/>
        <w:jc w:val="both"/>
        <w:rPr>
          <w:rFonts w:ascii="Times New Roman" w:eastAsia="Times New Roman" w:hAnsi="Times New Roman" w:cs="Times New Roman"/>
          <w:sz w:val="20"/>
          <w:szCs w:val="20"/>
        </w:rPr>
      </w:pPr>
    </w:p>
    <w:p w14:paraId="00D2BEE5" w14:textId="5B7282D7" w:rsidR="009535A6"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There was a clear male predominance in both groups, reflecting higher susceptibility or exposure to risk factors among males. (p = 0.81). (Table 2)</w:t>
      </w:r>
    </w:p>
    <w:p w14:paraId="510A8330" w14:textId="77777777" w:rsidR="00CF12DB" w:rsidRDefault="00CF12DB" w:rsidP="00CF12DB">
      <w:pPr>
        <w:spacing w:after="0" w:line="240" w:lineRule="auto"/>
        <w:jc w:val="center"/>
        <w:rPr>
          <w:rFonts w:ascii="Times New Roman" w:eastAsia="Times New Roman" w:hAnsi="Times New Roman" w:cs="Times New Roman"/>
          <w:b/>
          <w:bCs/>
          <w:sz w:val="20"/>
          <w:szCs w:val="20"/>
        </w:rPr>
      </w:pPr>
    </w:p>
    <w:p w14:paraId="48E94FA9" w14:textId="6F6A0339" w:rsidR="00CF12DB" w:rsidRPr="00317DFA" w:rsidRDefault="00CF12DB" w:rsidP="00CF12DB">
      <w:pPr>
        <w:spacing w:after="0" w:line="240" w:lineRule="auto"/>
        <w:jc w:val="center"/>
        <w:rPr>
          <w:rFonts w:ascii="Times New Roman" w:eastAsia="Times New Roman" w:hAnsi="Times New Roman" w:cs="Times New Roman"/>
          <w:sz w:val="20"/>
          <w:szCs w:val="20"/>
        </w:rPr>
      </w:pPr>
      <w:r w:rsidRPr="00317DFA">
        <w:rPr>
          <w:rFonts w:ascii="Times New Roman" w:eastAsia="Times New Roman" w:hAnsi="Times New Roman" w:cs="Times New Roman"/>
          <w:b/>
          <w:bCs/>
          <w:sz w:val="20"/>
          <w:szCs w:val="20"/>
        </w:rPr>
        <w:t>Table 2: Gender Distribution</w:t>
      </w:r>
    </w:p>
    <w:tbl>
      <w:tblPr>
        <w:tblW w:w="60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
        <w:gridCol w:w="1733"/>
        <w:gridCol w:w="1828"/>
        <w:gridCol w:w="1441"/>
      </w:tblGrid>
      <w:tr w:rsidR="009535A6" w:rsidRPr="00317DFA" w14:paraId="6AC28E61" w14:textId="77777777" w:rsidTr="00E67BE9">
        <w:trPr>
          <w:trHeight w:val="415"/>
          <w:jc w:val="center"/>
        </w:trPr>
        <w:tc>
          <w:tcPr>
            <w:tcW w:w="1007" w:type="dxa"/>
          </w:tcPr>
          <w:p w14:paraId="2FF1FD7B" w14:textId="77777777" w:rsidR="009535A6" w:rsidRPr="00317DFA" w:rsidRDefault="009535A6" w:rsidP="00CF12D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Gender</w:t>
            </w:r>
          </w:p>
        </w:tc>
        <w:tc>
          <w:tcPr>
            <w:tcW w:w="1733" w:type="dxa"/>
          </w:tcPr>
          <w:p w14:paraId="71962A8E" w14:textId="77777777" w:rsidR="009535A6" w:rsidRPr="00317DFA" w:rsidRDefault="009535A6" w:rsidP="00CF12D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Group I n (%)</w:t>
            </w:r>
          </w:p>
        </w:tc>
        <w:tc>
          <w:tcPr>
            <w:tcW w:w="1828" w:type="dxa"/>
          </w:tcPr>
          <w:p w14:paraId="28EB6AE2" w14:textId="77777777" w:rsidR="009535A6" w:rsidRPr="00317DFA" w:rsidRDefault="009535A6" w:rsidP="00CF12D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Group II n (%)</w:t>
            </w:r>
          </w:p>
        </w:tc>
        <w:tc>
          <w:tcPr>
            <w:tcW w:w="1441" w:type="dxa"/>
          </w:tcPr>
          <w:p w14:paraId="6A702183" w14:textId="77777777" w:rsidR="009535A6" w:rsidRPr="00317DFA" w:rsidRDefault="009535A6" w:rsidP="00CF12D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Total n (%)</w:t>
            </w:r>
          </w:p>
        </w:tc>
      </w:tr>
      <w:tr w:rsidR="009535A6" w:rsidRPr="00317DFA" w14:paraId="29A7AE4D" w14:textId="77777777" w:rsidTr="00E67BE9">
        <w:trPr>
          <w:trHeight w:val="415"/>
          <w:jc w:val="center"/>
        </w:trPr>
        <w:tc>
          <w:tcPr>
            <w:tcW w:w="1007" w:type="dxa"/>
          </w:tcPr>
          <w:p w14:paraId="44DD1FBE"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Male</w:t>
            </w:r>
          </w:p>
        </w:tc>
        <w:tc>
          <w:tcPr>
            <w:tcW w:w="1733" w:type="dxa"/>
          </w:tcPr>
          <w:p w14:paraId="72178334"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25 (62.5)</w:t>
            </w:r>
          </w:p>
        </w:tc>
        <w:tc>
          <w:tcPr>
            <w:tcW w:w="1828" w:type="dxa"/>
          </w:tcPr>
          <w:p w14:paraId="0B11512A"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24 (60.0)</w:t>
            </w:r>
          </w:p>
        </w:tc>
        <w:tc>
          <w:tcPr>
            <w:tcW w:w="1441" w:type="dxa"/>
          </w:tcPr>
          <w:p w14:paraId="326361B2"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49 (61.25)</w:t>
            </w:r>
          </w:p>
        </w:tc>
      </w:tr>
      <w:tr w:rsidR="009535A6" w:rsidRPr="00317DFA" w14:paraId="3AE0B8E9" w14:textId="77777777" w:rsidTr="00E67BE9">
        <w:trPr>
          <w:trHeight w:val="415"/>
          <w:jc w:val="center"/>
        </w:trPr>
        <w:tc>
          <w:tcPr>
            <w:tcW w:w="1007" w:type="dxa"/>
          </w:tcPr>
          <w:p w14:paraId="20D68223"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Female</w:t>
            </w:r>
          </w:p>
        </w:tc>
        <w:tc>
          <w:tcPr>
            <w:tcW w:w="1733" w:type="dxa"/>
          </w:tcPr>
          <w:p w14:paraId="604B3B1A"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15 (37.5)</w:t>
            </w:r>
          </w:p>
        </w:tc>
        <w:tc>
          <w:tcPr>
            <w:tcW w:w="1828" w:type="dxa"/>
          </w:tcPr>
          <w:p w14:paraId="41272BBD"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16 (40.0)</w:t>
            </w:r>
          </w:p>
        </w:tc>
        <w:tc>
          <w:tcPr>
            <w:tcW w:w="1441" w:type="dxa"/>
          </w:tcPr>
          <w:p w14:paraId="16C5BC97"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31 (38.75)</w:t>
            </w:r>
          </w:p>
        </w:tc>
      </w:tr>
      <w:tr w:rsidR="009535A6" w:rsidRPr="00317DFA" w14:paraId="26DA8903" w14:textId="77777777" w:rsidTr="00E67BE9">
        <w:trPr>
          <w:trHeight w:val="415"/>
          <w:jc w:val="center"/>
        </w:trPr>
        <w:tc>
          <w:tcPr>
            <w:tcW w:w="1007" w:type="dxa"/>
          </w:tcPr>
          <w:p w14:paraId="5A228421"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b/>
                <w:bCs/>
                <w:sz w:val="20"/>
                <w:szCs w:val="20"/>
              </w:rPr>
              <w:t>Total</w:t>
            </w:r>
          </w:p>
        </w:tc>
        <w:tc>
          <w:tcPr>
            <w:tcW w:w="1733" w:type="dxa"/>
          </w:tcPr>
          <w:p w14:paraId="7933DCBF"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40 (100)</w:t>
            </w:r>
          </w:p>
        </w:tc>
        <w:tc>
          <w:tcPr>
            <w:tcW w:w="1828" w:type="dxa"/>
          </w:tcPr>
          <w:p w14:paraId="55A887C4"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40 (100)</w:t>
            </w:r>
          </w:p>
        </w:tc>
        <w:tc>
          <w:tcPr>
            <w:tcW w:w="1441" w:type="dxa"/>
          </w:tcPr>
          <w:p w14:paraId="3D6D5820"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80 (100)</w:t>
            </w:r>
          </w:p>
        </w:tc>
      </w:tr>
    </w:tbl>
    <w:p w14:paraId="0DCAFA84" w14:textId="77777777" w:rsidR="00CF12DB" w:rsidRDefault="00CF12DB" w:rsidP="00CF12DB">
      <w:pPr>
        <w:spacing w:after="0" w:line="240" w:lineRule="auto"/>
        <w:jc w:val="both"/>
        <w:rPr>
          <w:rFonts w:ascii="Times New Roman" w:eastAsia="Times New Roman" w:hAnsi="Times New Roman" w:cs="Times New Roman"/>
          <w:b/>
          <w:bCs/>
          <w:sz w:val="20"/>
          <w:szCs w:val="20"/>
        </w:rPr>
      </w:pPr>
    </w:p>
    <w:p w14:paraId="736D1E27" w14:textId="514035BD" w:rsidR="009535A6"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Baseline ulcer size was similar in both groups, indicating uniform disease severity at presentation. The absence of statistical significance confirms that both groups were comparable before intervention. Group I showed significantly greater reduction in ulcer size at all follow-up intervals. The progressive and consistent improvement highlights the superior wound-healing efficacy of topical insulin. This difference was highly statistically significant, confirming a strong treatment effect.  (Table 3)</w:t>
      </w:r>
      <w:r w:rsidR="00CF12DB">
        <w:rPr>
          <w:rFonts w:ascii="Times New Roman" w:eastAsia="Times New Roman" w:hAnsi="Times New Roman" w:cs="Times New Roman"/>
          <w:sz w:val="20"/>
          <w:szCs w:val="20"/>
        </w:rPr>
        <w:t>.</w:t>
      </w:r>
    </w:p>
    <w:p w14:paraId="55E7D97C" w14:textId="77777777" w:rsidR="00CF12DB" w:rsidRDefault="00CF12DB" w:rsidP="00CF12DB">
      <w:pPr>
        <w:spacing w:after="0" w:line="240" w:lineRule="auto"/>
        <w:jc w:val="both"/>
        <w:rPr>
          <w:rFonts w:ascii="Times New Roman" w:eastAsia="Times New Roman" w:hAnsi="Times New Roman" w:cs="Times New Roman"/>
          <w:sz w:val="20"/>
          <w:szCs w:val="20"/>
        </w:rPr>
      </w:pPr>
    </w:p>
    <w:p w14:paraId="290620C8" w14:textId="6B5B5C95" w:rsidR="00CF12DB" w:rsidRPr="00317DFA" w:rsidRDefault="00CF12DB" w:rsidP="00CF12DB">
      <w:pPr>
        <w:spacing w:after="0" w:line="240" w:lineRule="auto"/>
        <w:jc w:val="center"/>
        <w:rPr>
          <w:rFonts w:ascii="Times New Roman" w:eastAsia="Times New Roman" w:hAnsi="Times New Roman" w:cs="Times New Roman"/>
          <w:sz w:val="20"/>
          <w:szCs w:val="20"/>
        </w:rPr>
      </w:pPr>
      <w:r w:rsidRPr="00317DFA">
        <w:rPr>
          <w:rFonts w:ascii="Times New Roman" w:eastAsia="Times New Roman" w:hAnsi="Times New Roman" w:cs="Times New Roman"/>
          <w:b/>
          <w:bCs/>
          <w:sz w:val="20"/>
          <w:szCs w:val="20"/>
        </w:rPr>
        <w:t>Table 3: Reduction in Ulcer Size (%)</w:t>
      </w:r>
    </w:p>
    <w:tbl>
      <w:tblPr>
        <w:tblW w:w="70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3"/>
        <w:gridCol w:w="2415"/>
        <w:gridCol w:w="2508"/>
        <w:gridCol w:w="1012"/>
      </w:tblGrid>
      <w:tr w:rsidR="009535A6" w:rsidRPr="00317DFA" w14:paraId="428BB95D" w14:textId="77777777" w:rsidTr="00E67BE9">
        <w:trPr>
          <w:jc w:val="center"/>
        </w:trPr>
        <w:tc>
          <w:tcPr>
            <w:tcW w:w="1103" w:type="dxa"/>
          </w:tcPr>
          <w:p w14:paraId="3C2ABF92" w14:textId="77777777" w:rsidR="009535A6" w:rsidRPr="00317DFA" w:rsidRDefault="009535A6" w:rsidP="00CF12D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Week</w:t>
            </w:r>
          </w:p>
        </w:tc>
        <w:tc>
          <w:tcPr>
            <w:tcW w:w="2415" w:type="dxa"/>
          </w:tcPr>
          <w:p w14:paraId="4F041230" w14:textId="77777777" w:rsidR="009535A6" w:rsidRPr="00317DFA" w:rsidRDefault="009535A6" w:rsidP="00CF12D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Group I (Mean ± SD)</w:t>
            </w:r>
          </w:p>
        </w:tc>
        <w:tc>
          <w:tcPr>
            <w:tcW w:w="2508" w:type="dxa"/>
          </w:tcPr>
          <w:p w14:paraId="6A3AA695" w14:textId="77777777" w:rsidR="009535A6" w:rsidRPr="00317DFA" w:rsidRDefault="009535A6" w:rsidP="00CF12D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Group II (Mean ± SD)</w:t>
            </w:r>
          </w:p>
        </w:tc>
        <w:tc>
          <w:tcPr>
            <w:tcW w:w="1012" w:type="dxa"/>
          </w:tcPr>
          <w:p w14:paraId="67159897" w14:textId="77777777" w:rsidR="009535A6" w:rsidRPr="00317DFA" w:rsidRDefault="009535A6" w:rsidP="00CF12D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p value</w:t>
            </w:r>
          </w:p>
        </w:tc>
      </w:tr>
      <w:tr w:rsidR="009535A6" w:rsidRPr="00317DFA" w14:paraId="62745E77" w14:textId="77777777" w:rsidTr="00E67BE9">
        <w:trPr>
          <w:jc w:val="center"/>
        </w:trPr>
        <w:tc>
          <w:tcPr>
            <w:tcW w:w="1103" w:type="dxa"/>
          </w:tcPr>
          <w:p w14:paraId="0552FCD4"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Base line</w:t>
            </w:r>
          </w:p>
        </w:tc>
        <w:tc>
          <w:tcPr>
            <w:tcW w:w="2415" w:type="dxa"/>
            <w:vAlign w:val="center"/>
          </w:tcPr>
          <w:p w14:paraId="5BBA14E6"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24.5 ± 6.2</w:t>
            </w:r>
          </w:p>
        </w:tc>
        <w:tc>
          <w:tcPr>
            <w:tcW w:w="2508" w:type="dxa"/>
            <w:vAlign w:val="center"/>
          </w:tcPr>
          <w:p w14:paraId="0CC0AB20"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25.1 ± 5.9</w:t>
            </w:r>
          </w:p>
        </w:tc>
        <w:tc>
          <w:tcPr>
            <w:tcW w:w="1012" w:type="dxa"/>
            <w:vAlign w:val="center"/>
          </w:tcPr>
          <w:p w14:paraId="5671AFDC"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0.68</w:t>
            </w:r>
          </w:p>
        </w:tc>
      </w:tr>
      <w:tr w:rsidR="009535A6" w:rsidRPr="00317DFA" w14:paraId="3B187D64" w14:textId="77777777" w:rsidTr="00E67BE9">
        <w:trPr>
          <w:jc w:val="center"/>
        </w:trPr>
        <w:tc>
          <w:tcPr>
            <w:tcW w:w="1103" w:type="dxa"/>
          </w:tcPr>
          <w:p w14:paraId="2558E961"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Week 1</w:t>
            </w:r>
          </w:p>
        </w:tc>
        <w:tc>
          <w:tcPr>
            <w:tcW w:w="2415" w:type="dxa"/>
          </w:tcPr>
          <w:p w14:paraId="5EFDE229"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18.2 ± 4.1</w:t>
            </w:r>
          </w:p>
        </w:tc>
        <w:tc>
          <w:tcPr>
            <w:tcW w:w="2508" w:type="dxa"/>
          </w:tcPr>
          <w:p w14:paraId="4CDA3A60"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12.5 ± 3.8</w:t>
            </w:r>
          </w:p>
        </w:tc>
        <w:tc>
          <w:tcPr>
            <w:tcW w:w="1012" w:type="dxa"/>
          </w:tcPr>
          <w:p w14:paraId="6AFE5BE6"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0.001*</w:t>
            </w:r>
          </w:p>
        </w:tc>
      </w:tr>
      <w:tr w:rsidR="009535A6" w:rsidRPr="00317DFA" w14:paraId="2336320B" w14:textId="77777777" w:rsidTr="00E67BE9">
        <w:trPr>
          <w:jc w:val="center"/>
        </w:trPr>
        <w:tc>
          <w:tcPr>
            <w:tcW w:w="1103" w:type="dxa"/>
          </w:tcPr>
          <w:p w14:paraId="358F4277"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Week 2</w:t>
            </w:r>
          </w:p>
        </w:tc>
        <w:tc>
          <w:tcPr>
            <w:tcW w:w="2415" w:type="dxa"/>
          </w:tcPr>
          <w:p w14:paraId="53F5A09A"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36.4 ± 5.2</w:t>
            </w:r>
          </w:p>
        </w:tc>
        <w:tc>
          <w:tcPr>
            <w:tcW w:w="2508" w:type="dxa"/>
          </w:tcPr>
          <w:p w14:paraId="111F17D4"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25.3 ± 4.6</w:t>
            </w:r>
          </w:p>
        </w:tc>
        <w:tc>
          <w:tcPr>
            <w:tcW w:w="1012" w:type="dxa"/>
          </w:tcPr>
          <w:p w14:paraId="70E1D85C"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&lt;0.001*</w:t>
            </w:r>
          </w:p>
        </w:tc>
      </w:tr>
      <w:tr w:rsidR="009535A6" w:rsidRPr="00317DFA" w14:paraId="199F84BE" w14:textId="77777777" w:rsidTr="00E67BE9">
        <w:trPr>
          <w:jc w:val="center"/>
        </w:trPr>
        <w:tc>
          <w:tcPr>
            <w:tcW w:w="1103" w:type="dxa"/>
          </w:tcPr>
          <w:p w14:paraId="712A83C5"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Week 3</w:t>
            </w:r>
          </w:p>
        </w:tc>
        <w:tc>
          <w:tcPr>
            <w:tcW w:w="2415" w:type="dxa"/>
          </w:tcPr>
          <w:p w14:paraId="070E0A1E"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58.6 ± 6.8</w:t>
            </w:r>
          </w:p>
        </w:tc>
        <w:tc>
          <w:tcPr>
            <w:tcW w:w="2508" w:type="dxa"/>
          </w:tcPr>
          <w:p w14:paraId="40A6C397"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42.1 ± 5.9</w:t>
            </w:r>
          </w:p>
        </w:tc>
        <w:tc>
          <w:tcPr>
            <w:tcW w:w="1012" w:type="dxa"/>
          </w:tcPr>
          <w:p w14:paraId="58AA5584"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&lt;0.001*</w:t>
            </w:r>
          </w:p>
        </w:tc>
      </w:tr>
      <w:tr w:rsidR="009535A6" w:rsidRPr="00317DFA" w14:paraId="0577AA40" w14:textId="77777777" w:rsidTr="00E67BE9">
        <w:trPr>
          <w:jc w:val="center"/>
        </w:trPr>
        <w:tc>
          <w:tcPr>
            <w:tcW w:w="1103" w:type="dxa"/>
          </w:tcPr>
          <w:p w14:paraId="17B4340F"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Week 4</w:t>
            </w:r>
          </w:p>
        </w:tc>
        <w:tc>
          <w:tcPr>
            <w:tcW w:w="2415" w:type="dxa"/>
          </w:tcPr>
          <w:p w14:paraId="773DDE6A"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78.3 ± 7.1</w:t>
            </w:r>
          </w:p>
        </w:tc>
        <w:tc>
          <w:tcPr>
            <w:tcW w:w="2508" w:type="dxa"/>
          </w:tcPr>
          <w:p w14:paraId="1B8A86D7"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60.2 ± 6.3</w:t>
            </w:r>
          </w:p>
        </w:tc>
        <w:tc>
          <w:tcPr>
            <w:tcW w:w="1012" w:type="dxa"/>
          </w:tcPr>
          <w:p w14:paraId="2C63A32C"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&lt;0.001*</w:t>
            </w:r>
          </w:p>
        </w:tc>
      </w:tr>
    </w:tbl>
    <w:p w14:paraId="2CA1AB95" w14:textId="77777777" w:rsidR="00CF12DB" w:rsidRDefault="00CF12DB" w:rsidP="00CF12DB">
      <w:pPr>
        <w:spacing w:after="0" w:line="240" w:lineRule="auto"/>
        <w:jc w:val="both"/>
        <w:rPr>
          <w:rFonts w:ascii="Times New Roman" w:eastAsia="Times New Roman" w:hAnsi="Times New Roman" w:cs="Times New Roman"/>
          <w:sz w:val="20"/>
          <w:szCs w:val="20"/>
        </w:rPr>
      </w:pPr>
    </w:p>
    <w:p w14:paraId="3C12BD77" w14:textId="7B52A570" w:rsidR="009535A6"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Early and enhanced granulation tissue formation was observed in the insulin group compared to the phenytoin group. The difference was statistically significant at all time points, indicating faster wound bed preparation. This suggests improved tissue regeneration with insulin therapy. (Table 4)</w:t>
      </w:r>
    </w:p>
    <w:p w14:paraId="3BE5E01C" w14:textId="77777777" w:rsidR="00CF12DB" w:rsidRDefault="00CF12DB" w:rsidP="00CF12DB">
      <w:pPr>
        <w:spacing w:after="0" w:line="240" w:lineRule="auto"/>
        <w:jc w:val="center"/>
        <w:rPr>
          <w:rFonts w:ascii="Times New Roman" w:eastAsia="Times New Roman" w:hAnsi="Times New Roman" w:cs="Times New Roman"/>
          <w:b/>
          <w:bCs/>
          <w:sz w:val="20"/>
          <w:szCs w:val="20"/>
        </w:rPr>
      </w:pPr>
    </w:p>
    <w:p w14:paraId="12290704" w14:textId="10E853DC" w:rsidR="00CF12DB" w:rsidRPr="00317DFA" w:rsidRDefault="00CF12DB" w:rsidP="00CF12DB">
      <w:pPr>
        <w:spacing w:after="0" w:line="240" w:lineRule="auto"/>
        <w:jc w:val="center"/>
        <w:rPr>
          <w:rFonts w:ascii="Times New Roman" w:eastAsia="Times New Roman" w:hAnsi="Times New Roman" w:cs="Times New Roman"/>
          <w:sz w:val="20"/>
          <w:szCs w:val="20"/>
        </w:rPr>
      </w:pPr>
      <w:r w:rsidRPr="00317DFA">
        <w:rPr>
          <w:rFonts w:ascii="Times New Roman" w:eastAsia="Times New Roman" w:hAnsi="Times New Roman" w:cs="Times New Roman"/>
          <w:b/>
          <w:bCs/>
          <w:sz w:val="20"/>
          <w:szCs w:val="20"/>
        </w:rPr>
        <w:t>Table 4: Granulation Tissue Formation</w:t>
      </w:r>
    </w:p>
    <w:tbl>
      <w:tblPr>
        <w:tblW w:w="5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6"/>
        <w:gridCol w:w="1703"/>
        <w:gridCol w:w="1797"/>
        <w:gridCol w:w="957"/>
      </w:tblGrid>
      <w:tr w:rsidR="009535A6" w:rsidRPr="00317DFA" w14:paraId="0083F942" w14:textId="77777777" w:rsidTr="00E67BE9">
        <w:trPr>
          <w:jc w:val="center"/>
        </w:trPr>
        <w:tc>
          <w:tcPr>
            <w:tcW w:w="956" w:type="dxa"/>
          </w:tcPr>
          <w:p w14:paraId="35FB5393" w14:textId="77777777" w:rsidR="009535A6" w:rsidRPr="00317DFA" w:rsidRDefault="009535A6" w:rsidP="00CF12D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Week</w:t>
            </w:r>
          </w:p>
        </w:tc>
        <w:tc>
          <w:tcPr>
            <w:tcW w:w="1703" w:type="dxa"/>
          </w:tcPr>
          <w:p w14:paraId="05C203F9" w14:textId="77777777" w:rsidR="009535A6" w:rsidRPr="00317DFA" w:rsidRDefault="009535A6" w:rsidP="00CF12D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Group I n (%)</w:t>
            </w:r>
          </w:p>
        </w:tc>
        <w:tc>
          <w:tcPr>
            <w:tcW w:w="1797" w:type="dxa"/>
          </w:tcPr>
          <w:p w14:paraId="7F1F2B90" w14:textId="77777777" w:rsidR="009535A6" w:rsidRPr="00317DFA" w:rsidRDefault="009535A6" w:rsidP="00CF12D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Group II n (%)</w:t>
            </w:r>
          </w:p>
        </w:tc>
        <w:tc>
          <w:tcPr>
            <w:tcW w:w="957" w:type="dxa"/>
          </w:tcPr>
          <w:p w14:paraId="69D737C9" w14:textId="77777777" w:rsidR="009535A6" w:rsidRPr="00317DFA" w:rsidRDefault="009535A6" w:rsidP="00CF12D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p value</w:t>
            </w:r>
          </w:p>
        </w:tc>
      </w:tr>
      <w:tr w:rsidR="009535A6" w:rsidRPr="00317DFA" w14:paraId="1EFA6237" w14:textId="77777777" w:rsidTr="00E67BE9">
        <w:trPr>
          <w:jc w:val="center"/>
        </w:trPr>
        <w:tc>
          <w:tcPr>
            <w:tcW w:w="956" w:type="dxa"/>
          </w:tcPr>
          <w:p w14:paraId="61FE0748"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Week 1</w:t>
            </w:r>
          </w:p>
        </w:tc>
        <w:tc>
          <w:tcPr>
            <w:tcW w:w="1703" w:type="dxa"/>
          </w:tcPr>
          <w:p w14:paraId="696A38BC"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22 (55.0)</w:t>
            </w:r>
          </w:p>
        </w:tc>
        <w:tc>
          <w:tcPr>
            <w:tcW w:w="1797" w:type="dxa"/>
          </w:tcPr>
          <w:p w14:paraId="2B0F78F6"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13 (32.5)</w:t>
            </w:r>
          </w:p>
        </w:tc>
        <w:tc>
          <w:tcPr>
            <w:tcW w:w="957" w:type="dxa"/>
          </w:tcPr>
          <w:p w14:paraId="0BA04817"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0.02*</w:t>
            </w:r>
          </w:p>
        </w:tc>
      </w:tr>
      <w:tr w:rsidR="009535A6" w:rsidRPr="00317DFA" w14:paraId="44AB85BF" w14:textId="77777777" w:rsidTr="00E67BE9">
        <w:trPr>
          <w:jc w:val="center"/>
        </w:trPr>
        <w:tc>
          <w:tcPr>
            <w:tcW w:w="956" w:type="dxa"/>
          </w:tcPr>
          <w:p w14:paraId="069692E1"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Week 2</w:t>
            </w:r>
          </w:p>
        </w:tc>
        <w:tc>
          <w:tcPr>
            <w:tcW w:w="1703" w:type="dxa"/>
          </w:tcPr>
          <w:p w14:paraId="598D6C5F"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32 (80.0)</w:t>
            </w:r>
          </w:p>
        </w:tc>
        <w:tc>
          <w:tcPr>
            <w:tcW w:w="1797" w:type="dxa"/>
          </w:tcPr>
          <w:p w14:paraId="21835FEA"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23 (57.5)</w:t>
            </w:r>
          </w:p>
        </w:tc>
        <w:tc>
          <w:tcPr>
            <w:tcW w:w="957" w:type="dxa"/>
          </w:tcPr>
          <w:p w14:paraId="480360F6"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0.01*</w:t>
            </w:r>
          </w:p>
        </w:tc>
      </w:tr>
      <w:tr w:rsidR="009535A6" w:rsidRPr="00317DFA" w14:paraId="4CA7702B" w14:textId="77777777" w:rsidTr="00E67BE9">
        <w:trPr>
          <w:jc w:val="center"/>
        </w:trPr>
        <w:tc>
          <w:tcPr>
            <w:tcW w:w="956" w:type="dxa"/>
          </w:tcPr>
          <w:p w14:paraId="0336DC10"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Week 3</w:t>
            </w:r>
          </w:p>
        </w:tc>
        <w:tc>
          <w:tcPr>
            <w:tcW w:w="1703" w:type="dxa"/>
          </w:tcPr>
          <w:p w14:paraId="6AA505F6"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37 (92.5)</w:t>
            </w:r>
          </w:p>
        </w:tc>
        <w:tc>
          <w:tcPr>
            <w:tcW w:w="1797" w:type="dxa"/>
          </w:tcPr>
          <w:p w14:paraId="57E29864"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30 (75.0)</w:t>
            </w:r>
          </w:p>
        </w:tc>
        <w:tc>
          <w:tcPr>
            <w:tcW w:w="957" w:type="dxa"/>
          </w:tcPr>
          <w:p w14:paraId="2AFD25FF"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0.03*</w:t>
            </w:r>
          </w:p>
        </w:tc>
      </w:tr>
    </w:tbl>
    <w:p w14:paraId="560BBEF3" w14:textId="77777777" w:rsidR="00CF12DB" w:rsidRDefault="00CF12DB" w:rsidP="00CF12DB">
      <w:pPr>
        <w:spacing w:after="0" w:line="240" w:lineRule="auto"/>
        <w:jc w:val="both"/>
        <w:rPr>
          <w:rFonts w:ascii="Times New Roman" w:eastAsia="Times New Roman" w:hAnsi="Times New Roman" w:cs="Times New Roman"/>
          <w:sz w:val="20"/>
          <w:szCs w:val="20"/>
        </w:rPr>
      </w:pPr>
    </w:p>
    <w:p w14:paraId="2A6CBAEC" w14:textId="1BA95CB3" w:rsidR="009535A6"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Ulcer healing decreased significantly with increasing duration of diabetes. Patients with longer disease duration showed reduced response to treatment. (Table 5)</w:t>
      </w:r>
      <w:r w:rsidR="00CF12DB">
        <w:rPr>
          <w:rFonts w:ascii="Times New Roman" w:eastAsia="Times New Roman" w:hAnsi="Times New Roman" w:cs="Times New Roman"/>
          <w:sz w:val="20"/>
          <w:szCs w:val="20"/>
        </w:rPr>
        <w:t>.</w:t>
      </w:r>
    </w:p>
    <w:p w14:paraId="70E208DE" w14:textId="77777777" w:rsidR="00CF12DB" w:rsidRDefault="00CF12DB" w:rsidP="00CF12DB">
      <w:pPr>
        <w:spacing w:after="0" w:line="240" w:lineRule="auto"/>
        <w:jc w:val="both"/>
        <w:rPr>
          <w:rFonts w:ascii="Times New Roman" w:eastAsia="Times New Roman" w:hAnsi="Times New Roman" w:cs="Times New Roman"/>
          <w:sz w:val="20"/>
          <w:szCs w:val="20"/>
        </w:rPr>
      </w:pPr>
    </w:p>
    <w:p w14:paraId="40107950" w14:textId="6CF86B93" w:rsidR="00CF12DB" w:rsidRPr="00CF12DB" w:rsidRDefault="00CF12DB" w:rsidP="00CF12DB">
      <w:pPr>
        <w:spacing w:after="0" w:line="240" w:lineRule="auto"/>
        <w:jc w:val="center"/>
        <w:rPr>
          <w:rFonts w:ascii="Times New Roman" w:eastAsia="Times New Roman" w:hAnsi="Times New Roman" w:cs="Times New Roman"/>
          <w:sz w:val="20"/>
          <w:szCs w:val="20"/>
        </w:rPr>
      </w:pPr>
      <w:r w:rsidRPr="00317DFA">
        <w:rPr>
          <w:rFonts w:ascii="Times New Roman" w:eastAsia="Times New Roman" w:hAnsi="Times New Roman" w:cs="Times New Roman"/>
          <w:b/>
          <w:bCs/>
          <w:sz w:val="20"/>
          <w:szCs w:val="20"/>
        </w:rPr>
        <w:t>Table 5: Duration of Diabetes vs Ulcer Size Reduction</w:t>
      </w:r>
    </w:p>
    <w:tbl>
      <w:tblPr>
        <w:tblW w:w="68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696"/>
        <w:gridCol w:w="2376"/>
        <w:gridCol w:w="957"/>
      </w:tblGrid>
      <w:tr w:rsidR="009535A6" w:rsidRPr="00317DFA" w14:paraId="6080491F" w14:textId="77777777" w:rsidTr="00E67BE9">
        <w:trPr>
          <w:jc w:val="center"/>
        </w:trPr>
        <w:tc>
          <w:tcPr>
            <w:tcW w:w="1870" w:type="dxa"/>
          </w:tcPr>
          <w:p w14:paraId="284BB425" w14:textId="77777777" w:rsidR="009535A6" w:rsidRPr="00317DFA" w:rsidRDefault="009535A6" w:rsidP="00CF12D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Duration of DM</w:t>
            </w:r>
          </w:p>
        </w:tc>
        <w:tc>
          <w:tcPr>
            <w:tcW w:w="1696" w:type="dxa"/>
          </w:tcPr>
          <w:p w14:paraId="7B4AC30F" w14:textId="77777777" w:rsidR="009535A6" w:rsidRPr="00317DFA" w:rsidRDefault="009535A6" w:rsidP="00CF12D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Patients n (%)</w:t>
            </w:r>
          </w:p>
        </w:tc>
        <w:tc>
          <w:tcPr>
            <w:tcW w:w="2376" w:type="dxa"/>
          </w:tcPr>
          <w:p w14:paraId="7E2A0B8F" w14:textId="77777777" w:rsidR="009535A6" w:rsidRPr="00317DFA" w:rsidRDefault="009535A6" w:rsidP="00CF12D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Mean Reduction (%)</w:t>
            </w:r>
          </w:p>
        </w:tc>
        <w:tc>
          <w:tcPr>
            <w:tcW w:w="957" w:type="dxa"/>
          </w:tcPr>
          <w:p w14:paraId="2E0A698E" w14:textId="77777777" w:rsidR="009535A6" w:rsidRPr="00317DFA" w:rsidRDefault="009535A6" w:rsidP="00CF12D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p value</w:t>
            </w:r>
          </w:p>
        </w:tc>
      </w:tr>
      <w:tr w:rsidR="009535A6" w:rsidRPr="00317DFA" w14:paraId="214C9C8D" w14:textId="77777777" w:rsidTr="00E67BE9">
        <w:trPr>
          <w:jc w:val="center"/>
        </w:trPr>
        <w:tc>
          <w:tcPr>
            <w:tcW w:w="1870" w:type="dxa"/>
          </w:tcPr>
          <w:p w14:paraId="3482109D"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&lt;5 years</w:t>
            </w:r>
          </w:p>
        </w:tc>
        <w:tc>
          <w:tcPr>
            <w:tcW w:w="1696" w:type="dxa"/>
          </w:tcPr>
          <w:p w14:paraId="7CC43584"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18 (22.5)</w:t>
            </w:r>
          </w:p>
        </w:tc>
        <w:tc>
          <w:tcPr>
            <w:tcW w:w="2376" w:type="dxa"/>
          </w:tcPr>
          <w:p w14:paraId="0E460B08"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68.5 ± 6.2</w:t>
            </w:r>
          </w:p>
        </w:tc>
        <w:tc>
          <w:tcPr>
            <w:tcW w:w="957" w:type="dxa"/>
            <w:vMerge w:val="restart"/>
          </w:tcPr>
          <w:p w14:paraId="3021F1F9"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b/>
                <w:bCs/>
                <w:sz w:val="20"/>
                <w:szCs w:val="20"/>
              </w:rPr>
              <w:t>0.01</w:t>
            </w:r>
            <w:r w:rsidRPr="00317DFA">
              <w:rPr>
                <w:rFonts w:ascii="Times New Roman" w:eastAsia="Times New Roman" w:hAnsi="Times New Roman" w:cs="Times New Roman"/>
                <w:sz w:val="20"/>
                <w:szCs w:val="20"/>
              </w:rPr>
              <w:t>*</w:t>
            </w:r>
          </w:p>
        </w:tc>
      </w:tr>
      <w:tr w:rsidR="009535A6" w:rsidRPr="00317DFA" w14:paraId="730A28E9" w14:textId="77777777" w:rsidTr="00E67BE9">
        <w:trPr>
          <w:jc w:val="center"/>
        </w:trPr>
        <w:tc>
          <w:tcPr>
            <w:tcW w:w="1870" w:type="dxa"/>
          </w:tcPr>
          <w:p w14:paraId="131E7E74"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lastRenderedPageBreak/>
              <w:t>5–10 years</w:t>
            </w:r>
          </w:p>
        </w:tc>
        <w:tc>
          <w:tcPr>
            <w:tcW w:w="1696" w:type="dxa"/>
          </w:tcPr>
          <w:p w14:paraId="13E5E895"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32 (40.0)</w:t>
            </w:r>
          </w:p>
        </w:tc>
        <w:tc>
          <w:tcPr>
            <w:tcW w:w="2376" w:type="dxa"/>
          </w:tcPr>
          <w:p w14:paraId="761857B2"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59.2 ± 5.8</w:t>
            </w:r>
          </w:p>
        </w:tc>
        <w:tc>
          <w:tcPr>
            <w:tcW w:w="957" w:type="dxa"/>
            <w:vMerge/>
          </w:tcPr>
          <w:p w14:paraId="1EE93104" w14:textId="77777777" w:rsidR="009535A6" w:rsidRPr="00317DFA" w:rsidRDefault="009535A6" w:rsidP="00CF12D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r>
      <w:tr w:rsidR="009535A6" w:rsidRPr="00317DFA" w14:paraId="6D01A408" w14:textId="77777777" w:rsidTr="00E67BE9">
        <w:trPr>
          <w:jc w:val="center"/>
        </w:trPr>
        <w:tc>
          <w:tcPr>
            <w:tcW w:w="1870" w:type="dxa"/>
          </w:tcPr>
          <w:p w14:paraId="67D07744"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&gt;10 years</w:t>
            </w:r>
          </w:p>
        </w:tc>
        <w:tc>
          <w:tcPr>
            <w:tcW w:w="1696" w:type="dxa"/>
          </w:tcPr>
          <w:p w14:paraId="437C5906"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30 (37.5)</w:t>
            </w:r>
          </w:p>
        </w:tc>
        <w:tc>
          <w:tcPr>
            <w:tcW w:w="2376" w:type="dxa"/>
          </w:tcPr>
          <w:p w14:paraId="1470158C"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48.3 ± 5.1</w:t>
            </w:r>
          </w:p>
        </w:tc>
        <w:tc>
          <w:tcPr>
            <w:tcW w:w="957" w:type="dxa"/>
            <w:vMerge/>
          </w:tcPr>
          <w:p w14:paraId="2AF75196" w14:textId="77777777" w:rsidR="009535A6" w:rsidRPr="00317DFA" w:rsidRDefault="009535A6" w:rsidP="00CF12D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r>
    </w:tbl>
    <w:p w14:paraId="52C7D51E" w14:textId="77777777" w:rsidR="00CF12DB" w:rsidRDefault="00CF12DB" w:rsidP="00CF12DB">
      <w:pPr>
        <w:spacing w:after="0" w:line="240" w:lineRule="auto"/>
        <w:jc w:val="both"/>
        <w:rPr>
          <w:rFonts w:ascii="Times New Roman" w:eastAsia="Times New Roman" w:hAnsi="Times New Roman" w:cs="Times New Roman"/>
          <w:sz w:val="20"/>
          <w:szCs w:val="20"/>
        </w:rPr>
      </w:pPr>
    </w:p>
    <w:p w14:paraId="31D05E70" w14:textId="2A7B2F06" w:rsidR="009535A6"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Poor glycemic control was associated with significantly reduced wound healing. Patients with higher HbA1c levels demonstrated slower ulcer size reduction. (Table 6)</w:t>
      </w:r>
    </w:p>
    <w:p w14:paraId="53A9F1A9" w14:textId="77777777" w:rsidR="00CF12DB" w:rsidRDefault="00CF12DB" w:rsidP="00CF12DB">
      <w:pPr>
        <w:spacing w:after="0" w:line="240" w:lineRule="auto"/>
        <w:jc w:val="both"/>
        <w:rPr>
          <w:rFonts w:ascii="Times New Roman" w:eastAsia="Times New Roman" w:hAnsi="Times New Roman" w:cs="Times New Roman"/>
          <w:sz w:val="20"/>
          <w:szCs w:val="20"/>
        </w:rPr>
      </w:pPr>
    </w:p>
    <w:p w14:paraId="74F281BC" w14:textId="5CE74E03" w:rsidR="00CF12DB" w:rsidRPr="00CF12DB" w:rsidRDefault="00CF12DB" w:rsidP="00CF12DB">
      <w:pPr>
        <w:spacing w:after="0" w:line="240" w:lineRule="auto"/>
        <w:jc w:val="center"/>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Table 6: HbA1c vs Ulcer Healing</w:t>
      </w:r>
    </w:p>
    <w:tbl>
      <w:tblPr>
        <w:tblW w:w="58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6"/>
        <w:gridCol w:w="1696"/>
        <w:gridCol w:w="1730"/>
        <w:gridCol w:w="1013"/>
      </w:tblGrid>
      <w:tr w:rsidR="009535A6" w:rsidRPr="00317DFA" w14:paraId="475721AA" w14:textId="77777777" w:rsidTr="00E67BE9">
        <w:trPr>
          <w:jc w:val="center"/>
        </w:trPr>
        <w:tc>
          <w:tcPr>
            <w:tcW w:w="1396" w:type="dxa"/>
          </w:tcPr>
          <w:p w14:paraId="21C3CAED" w14:textId="77777777" w:rsidR="009535A6" w:rsidRPr="00317DFA" w:rsidRDefault="009535A6" w:rsidP="00CF12D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HbA1c (%)</w:t>
            </w:r>
          </w:p>
        </w:tc>
        <w:tc>
          <w:tcPr>
            <w:tcW w:w="1696" w:type="dxa"/>
          </w:tcPr>
          <w:p w14:paraId="6F4CB093" w14:textId="77777777" w:rsidR="009535A6" w:rsidRPr="00317DFA" w:rsidRDefault="009535A6" w:rsidP="00CF12D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Patients n (%)</w:t>
            </w:r>
          </w:p>
        </w:tc>
        <w:tc>
          <w:tcPr>
            <w:tcW w:w="1730" w:type="dxa"/>
          </w:tcPr>
          <w:p w14:paraId="6C1EE65E" w14:textId="77777777" w:rsidR="009535A6" w:rsidRPr="00317DFA" w:rsidRDefault="009535A6" w:rsidP="00CF12D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Reduction (%)</w:t>
            </w:r>
          </w:p>
        </w:tc>
        <w:tc>
          <w:tcPr>
            <w:tcW w:w="1013" w:type="dxa"/>
          </w:tcPr>
          <w:p w14:paraId="7878A4CC" w14:textId="77777777" w:rsidR="009535A6" w:rsidRPr="00317DFA" w:rsidRDefault="009535A6" w:rsidP="00CF12D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p value</w:t>
            </w:r>
          </w:p>
        </w:tc>
      </w:tr>
      <w:tr w:rsidR="009535A6" w:rsidRPr="00317DFA" w14:paraId="4169D03D" w14:textId="77777777" w:rsidTr="00E67BE9">
        <w:trPr>
          <w:jc w:val="center"/>
        </w:trPr>
        <w:tc>
          <w:tcPr>
            <w:tcW w:w="1396" w:type="dxa"/>
          </w:tcPr>
          <w:p w14:paraId="74B364D3"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&lt;7</w:t>
            </w:r>
          </w:p>
        </w:tc>
        <w:tc>
          <w:tcPr>
            <w:tcW w:w="1696" w:type="dxa"/>
          </w:tcPr>
          <w:p w14:paraId="212FEC57"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20 (25.0)</w:t>
            </w:r>
          </w:p>
        </w:tc>
        <w:tc>
          <w:tcPr>
            <w:tcW w:w="1730" w:type="dxa"/>
          </w:tcPr>
          <w:p w14:paraId="468A787B"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75.2 ± 6.4</w:t>
            </w:r>
          </w:p>
        </w:tc>
        <w:tc>
          <w:tcPr>
            <w:tcW w:w="1013" w:type="dxa"/>
          </w:tcPr>
          <w:p w14:paraId="493CED56"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p>
        </w:tc>
      </w:tr>
      <w:tr w:rsidR="009535A6" w:rsidRPr="00317DFA" w14:paraId="6DAC2FBE" w14:textId="77777777" w:rsidTr="00E67BE9">
        <w:trPr>
          <w:jc w:val="center"/>
        </w:trPr>
        <w:tc>
          <w:tcPr>
            <w:tcW w:w="1396" w:type="dxa"/>
          </w:tcPr>
          <w:p w14:paraId="13667F64"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7–9</w:t>
            </w:r>
          </w:p>
        </w:tc>
        <w:tc>
          <w:tcPr>
            <w:tcW w:w="1696" w:type="dxa"/>
          </w:tcPr>
          <w:p w14:paraId="5E31E0E4"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34 (42.5)</w:t>
            </w:r>
          </w:p>
        </w:tc>
        <w:tc>
          <w:tcPr>
            <w:tcW w:w="1730" w:type="dxa"/>
          </w:tcPr>
          <w:p w14:paraId="3A8D6232"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60.1 ± 5.9</w:t>
            </w:r>
          </w:p>
        </w:tc>
        <w:tc>
          <w:tcPr>
            <w:tcW w:w="1013" w:type="dxa"/>
          </w:tcPr>
          <w:p w14:paraId="5CFCEA0F"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p>
        </w:tc>
      </w:tr>
      <w:tr w:rsidR="009535A6" w:rsidRPr="00317DFA" w14:paraId="5BD3B278" w14:textId="77777777" w:rsidTr="00E67BE9">
        <w:trPr>
          <w:jc w:val="center"/>
        </w:trPr>
        <w:tc>
          <w:tcPr>
            <w:tcW w:w="1396" w:type="dxa"/>
          </w:tcPr>
          <w:p w14:paraId="01B07441"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&gt;9</w:t>
            </w:r>
          </w:p>
        </w:tc>
        <w:tc>
          <w:tcPr>
            <w:tcW w:w="1696" w:type="dxa"/>
          </w:tcPr>
          <w:p w14:paraId="69688833"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26 (32.5)</w:t>
            </w:r>
          </w:p>
        </w:tc>
        <w:tc>
          <w:tcPr>
            <w:tcW w:w="1730" w:type="dxa"/>
          </w:tcPr>
          <w:p w14:paraId="6A3DFB45"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45.3 ± 6.2</w:t>
            </w:r>
          </w:p>
        </w:tc>
        <w:tc>
          <w:tcPr>
            <w:tcW w:w="1013" w:type="dxa"/>
          </w:tcPr>
          <w:p w14:paraId="66DD88BD"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b/>
                <w:bCs/>
                <w:sz w:val="20"/>
                <w:szCs w:val="20"/>
              </w:rPr>
              <w:t>&lt;0.001</w:t>
            </w:r>
            <w:r w:rsidRPr="00317DFA">
              <w:rPr>
                <w:rFonts w:ascii="Times New Roman" w:eastAsia="Times New Roman" w:hAnsi="Times New Roman" w:cs="Times New Roman"/>
                <w:sz w:val="20"/>
                <w:szCs w:val="20"/>
              </w:rPr>
              <w:t>*</w:t>
            </w:r>
          </w:p>
        </w:tc>
      </w:tr>
    </w:tbl>
    <w:p w14:paraId="1CFCB36E" w14:textId="77777777" w:rsidR="00CF12DB" w:rsidRDefault="00CF12DB" w:rsidP="00CF12DB">
      <w:pPr>
        <w:spacing w:after="0" w:line="240" w:lineRule="auto"/>
        <w:jc w:val="both"/>
        <w:rPr>
          <w:rFonts w:ascii="Times New Roman" w:eastAsia="Times New Roman" w:hAnsi="Times New Roman" w:cs="Times New Roman"/>
          <w:sz w:val="20"/>
          <w:szCs w:val="20"/>
        </w:rPr>
      </w:pPr>
    </w:p>
    <w:p w14:paraId="3D1C19A4" w14:textId="257C5310" w:rsidR="009535A6"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The mean healing time was significantly shorter in Group I, indicating faster wound resolution. The highly significant p value confirms the clinical advantage of insulin over phenytoin. (Table 7)</w:t>
      </w:r>
      <w:r w:rsidR="00CF12DB">
        <w:rPr>
          <w:rFonts w:ascii="Times New Roman" w:eastAsia="Times New Roman" w:hAnsi="Times New Roman" w:cs="Times New Roman"/>
          <w:sz w:val="20"/>
          <w:szCs w:val="20"/>
        </w:rPr>
        <w:t>.</w:t>
      </w:r>
    </w:p>
    <w:p w14:paraId="6B513D37" w14:textId="77777777" w:rsidR="00CF12DB" w:rsidRDefault="00CF12DB" w:rsidP="00CF12DB">
      <w:pPr>
        <w:spacing w:after="0" w:line="240" w:lineRule="auto"/>
        <w:jc w:val="center"/>
        <w:rPr>
          <w:rFonts w:ascii="Times New Roman" w:eastAsia="Times New Roman" w:hAnsi="Times New Roman" w:cs="Times New Roman"/>
          <w:b/>
          <w:bCs/>
          <w:sz w:val="20"/>
          <w:szCs w:val="20"/>
        </w:rPr>
      </w:pPr>
    </w:p>
    <w:p w14:paraId="532DFD0B" w14:textId="7256142F" w:rsidR="00CF12DB" w:rsidRPr="00317DFA" w:rsidRDefault="00CF12DB" w:rsidP="00CF12DB">
      <w:pPr>
        <w:spacing w:after="0" w:line="240" w:lineRule="auto"/>
        <w:jc w:val="center"/>
        <w:rPr>
          <w:rFonts w:ascii="Times New Roman" w:eastAsia="Times New Roman" w:hAnsi="Times New Roman" w:cs="Times New Roman"/>
          <w:sz w:val="20"/>
          <w:szCs w:val="20"/>
        </w:rPr>
      </w:pPr>
      <w:r w:rsidRPr="00317DFA">
        <w:rPr>
          <w:rFonts w:ascii="Times New Roman" w:eastAsia="Times New Roman" w:hAnsi="Times New Roman" w:cs="Times New Roman"/>
          <w:b/>
          <w:bCs/>
          <w:sz w:val="20"/>
          <w:szCs w:val="20"/>
        </w:rPr>
        <w:t>Table 7: Time to Complete Healing</w:t>
      </w:r>
    </w:p>
    <w:tbl>
      <w:tblPr>
        <w:tblW w:w="8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3"/>
        <w:gridCol w:w="2415"/>
        <w:gridCol w:w="2508"/>
        <w:gridCol w:w="1012"/>
      </w:tblGrid>
      <w:tr w:rsidR="009535A6" w:rsidRPr="00317DFA" w14:paraId="23E3770A" w14:textId="77777777" w:rsidTr="00E67BE9">
        <w:trPr>
          <w:jc w:val="center"/>
        </w:trPr>
        <w:tc>
          <w:tcPr>
            <w:tcW w:w="2123" w:type="dxa"/>
          </w:tcPr>
          <w:p w14:paraId="7A107334" w14:textId="77777777" w:rsidR="009535A6" w:rsidRPr="00317DFA" w:rsidRDefault="009535A6" w:rsidP="00CF12D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Parameter</w:t>
            </w:r>
          </w:p>
        </w:tc>
        <w:tc>
          <w:tcPr>
            <w:tcW w:w="2415" w:type="dxa"/>
          </w:tcPr>
          <w:p w14:paraId="64208ECB" w14:textId="77777777" w:rsidR="009535A6" w:rsidRPr="00317DFA" w:rsidRDefault="009535A6" w:rsidP="00CF12D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Group I (Mean ± SD)</w:t>
            </w:r>
          </w:p>
        </w:tc>
        <w:tc>
          <w:tcPr>
            <w:tcW w:w="2508" w:type="dxa"/>
          </w:tcPr>
          <w:p w14:paraId="5012FA28" w14:textId="77777777" w:rsidR="009535A6" w:rsidRPr="00317DFA" w:rsidRDefault="009535A6" w:rsidP="00CF12D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Group II (Mean ± SD)</w:t>
            </w:r>
          </w:p>
        </w:tc>
        <w:tc>
          <w:tcPr>
            <w:tcW w:w="1012" w:type="dxa"/>
          </w:tcPr>
          <w:p w14:paraId="0313A667" w14:textId="77777777" w:rsidR="009535A6" w:rsidRPr="00317DFA" w:rsidRDefault="009535A6" w:rsidP="00CF12D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p value</w:t>
            </w:r>
          </w:p>
        </w:tc>
      </w:tr>
      <w:tr w:rsidR="009535A6" w:rsidRPr="00317DFA" w14:paraId="23C22175" w14:textId="77777777" w:rsidTr="00E67BE9">
        <w:trPr>
          <w:jc w:val="center"/>
        </w:trPr>
        <w:tc>
          <w:tcPr>
            <w:tcW w:w="2123" w:type="dxa"/>
          </w:tcPr>
          <w:p w14:paraId="685A8842"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Healing time (days)</w:t>
            </w:r>
          </w:p>
        </w:tc>
        <w:tc>
          <w:tcPr>
            <w:tcW w:w="2415" w:type="dxa"/>
          </w:tcPr>
          <w:p w14:paraId="742A43B6"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24.6 ± 5.3</w:t>
            </w:r>
          </w:p>
        </w:tc>
        <w:tc>
          <w:tcPr>
            <w:tcW w:w="2508" w:type="dxa"/>
          </w:tcPr>
          <w:p w14:paraId="14748100"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32.8 ± 6.1</w:t>
            </w:r>
          </w:p>
        </w:tc>
        <w:tc>
          <w:tcPr>
            <w:tcW w:w="1012" w:type="dxa"/>
          </w:tcPr>
          <w:p w14:paraId="5485956C" w14:textId="77777777"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&lt;0.001*</w:t>
            </w:r>
          </w:p>
        </w:tc>
      </w:tr>
    </w:tbl>
    <w:p w14:paraId="7BE30B5D" w14:textId="77777777" w:rsidR="009535A6" w:rsidRPr="00317DFA" w:rsidRDefault="009535A6" w:rsidP="00CF12DB">
      <w:pPr>
        <w:spacing w:before="240"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DISCUSSION</w:t>
      </w:r>
    </w:p>
    <w:p w14:paraId="5037DEA7" w14:textId="0F5F7CB1"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he majority of patients in the present study were in the 51–60 years age group (28; 35.0%), followed by 41–50 years (19; 23.75%), while elderly patients above 60 years constituted 24 (30.0%) cases. Age distribution was comparable between the groups (p = 0.62), and male predominance was noted in 49 (61.25%) patients, reflecting potential gender-based vulnerability, with no significant difference between groups (p = 0.81). Baseline ulcer size was similar in both groups (Group I: 24.5 ± 6.2%; Group II: 25.1 ± 5.9%; p = 0.68), confirming homogeneity before intervention.</w:t>
      </w:r>
    </w:p>
    <w:p w14:paraId="60F1631E" w14:textId="77777777" w:rsidR="00CF12DB" w:rsidRDefault="00CF12DB" w:rsidP="00CF12DB">
      <w:pPr>
        <w:spacing w:after="0" w:line="240" w:lineRule="auto"/>
        <w:jc w:val="both"/>
        <w:rPr>
          <w:rFonts w:ascii="Times New Roman" w:eastAsia="Times New Roman" w:hAnsi="Times New Roman" w:cs="Times New Roman"/>
          <w:sz w:val="20"/>
          <w:szCs w:val="20"/>
        </w:rPr>
      </w:pPr>
      <w:bookmarkStart w:id="1" w:name="_t090k4mivsp" w:colFirst="0" w:colLast="0"/>
      <w:bookmarkEnd w:id="1"/>
    </w:p>
    <w:p w14:paraId="0A658DDB" w14:textId="5D3F501D"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The demographic trends in this study, including male predominance and higher prevalence in middle-aged to elderly patients, were comparable to those reported by Madishetty R et al.</w:t>
      </w:r>
      <w:r w:rsidRPr="00317DFA">
        <w:rPr>
          <w:rFonts w:ascii="Times New Roman" w:eastAsia="Times New Roman" w:hAnsi="Times New Roman" w:cs="Times New Roman"/>
          <w:sz w:val="20"/>
          <w:szCs w:val="20"/>
          <w:vertAlign w:val="superscript"/>
        </w:rPr>
        <w:t>12</w:t>
      </w:r>
      <w:r w:rsidRPr="00317DFA">
        <w:rPr>
          <w:rFonts w:ascii="Times New Roman" w:eastAsia="Times New Roman" w:hAnsi="Times New Roman" w:cs="Times New Roman"/>
          <w:sz w:val="20"/>
          <w:szCs w:val="20"/>
        </w:rPr>
        <w:t xml:space="preserve"> reflecting both biological susceptibility and behavioral factors influencing diabetic foot ulcer incidence.</w:t>
      </w:r>
    </w:p>
    <w:p w14:paraId="35154C78" w14:textId="77777777" w:rsidR="00CF12DB" w:rsidRDefault="00CF12DB" w:rsidP="00CF12DB">
      <w:pPr>
        <w:spacing w:after="0" w:line="240" w:lineRule="auto"/>
        <w:jc w:val="both"/>
        <w:rPr>
          <w:rFonts w:ascii="Times New Roman" w:eastAsia="Times New Roman" w:hAnsi="Times New Roman" w:cs="Times New Roman"/>
          <w:sz w:val="20"/>
          <w:szCs w:val="20"/>
        </w:rPr>
      </w:pPr>
    </w:p>
    <w:p w14:paraId="74FFAE39" w14:textId="27745609"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Present study observed that topical insulin demonstrated significantly faster and greater ulcer size reduction and enhanced granulation tissue formation compared to topical phenytoin. Healing was influenced by both diabetes duration and glycemic control, with better outcomes in patients with shorter disease duration and well-controlled HbA1c. The mean healing time was also shorter in the insulin group, indicating superior efficacy in promoting wound closure.</w:t>
      </w:r>
    </w:p>
    <w:p w14:paraId="238FC353" w14:textId="77777777" w:rsidR="00CF12DB" w:rsidRDefault="00CF12DB" w:rsidP="00CF12DB">
      <w:pPr>
        <w:spacing w:after="0" w:line="240" w:lineRule="auto"/>
        <w:jc w:val="both"/>
        <w:rPr>
          <w:rFonts w:ascii="Times New Roman" w:eastAsia="Times New Roman" w:hAnsi="Times New Roman" w:cs="Times New Roman"/>
          <w:sz w:val="20"/>
          <w:szCs w:val="20"/>
        </w:rPr>
      </w:pPr>
    </w:p>
    <w:p w14:paraId="0FCBAC3B" w14:textId="0D237016"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These findings are consistent with those of Nagaraj J et al.</w:t>
      </w:r>
      <w:r w:rsidRPr="00317DFA">
        <w:rPr>
          <w:rFonts w:ascii="Times New Roman" w:eastAsia="Times New Roman" w:hAnsi="Times New Roman" w:cs="Times New Roman"/>
          <w:sz w:val="20"/>
          <w:szCs w:val="20"/>
          <w:vertAlign w:val="superscript"/>
        </w:rPr>
        <w:t>13</w:t>
      </w:r>
      <w:r w:rsidRPr="00317DFA">
        <w:rPr>
          <w:rFonts w:ascii="Times New Roman" w:eastAsia="Times New Roman" w:hAnsi="Times New Roman" w:cs="Times New Roman"/>
          <w:sz w:val="20"/>
          <w:szCs w:val="20"/>
        </w:rPr>
        <w:t xml:space="preserve"> who reported statistically significant improvements in wound size and depth with insulin dressings compared to phenytoin and normal saline. The accelerated healing and early granulation observed in the current study align with their findings, confirming the beneficial effect of local insulin therapy. Similarly, Biradar D et al.</w:t>
      </w:r>
      <w:r w:rsidRPr="00317DFA">
        <w:rPr>
          <w:rFonts w:ascii="Times New Roman" w:eastAsia="Times New Roman" w:hAnsi="Times New Roman" w:cs="Times New Roman"/>
          <w:sz w:val="20"/>
          <w:szCs w:val="20"/>
          <w:vertAlign w:val="superscript"/>
        </w:rPr>
        <w:t>14</w:t>
      </w:r>
      <w:r w:rsidRPr="00317DFA">
        <w:rPr>
          <w:rFonts w:ascii="Times New Roman" w:eastAsia="Times New Roman" w:hAnsi="Times New Roman" w:cs="Times New Roman"/>
          <w:sz w:val="20"/>
          <w:szCs w:val="20"/>
        </w:rPr>
        <w:t xml:space="preserve"> noted that insulin dressings led to greater surface area reduction and faster granulation tissue formation than saline dressings, highlighting the advantage of insulin in enhancing tissue regeneration, comparable to our results.</w:t>
      </w:r>
    </w:p>
    <w:p w14:paraId="3F9C871E" w14:textId="77777777" w:rsidR="00CF12DB" w:rsidRDefault="00CF12DB" w:rsidP="00CF12DB">
      <w:pPr>
        <w:spacing w:after="0" w:line="240" w:lineRule="auto"/>
        <w:jc w:val="both"/>
        <w:rPr>
          <w:rFonts w:ascii="Times New Roman" w:eastAsia="Times New Roman" w:hAnsi="Times New Roman" w:cs="Times New Roman"/>
          <w:sz w:val="20"/>
          <w:szCs w:val="20"/>
        </w:rPr>
      </w:pPr>
    </w:p>
    <w:p w14:paraId="139B2017" w14:textId="5D451DFE" w:rsidR="009535A6" w:rsidRPr="00317DFA" w:rsidRDefault="009535A6" w:rsidP="00CF12DB">
      <w:pPr>
        <w:spacing w:after="0" w:line="240" w:lineRule="auto"/>
        <w:jc w:val="both"/>
        <w:rPr>
          <w:rFonts w:ascii="Times New Roman" w:eastAsia="Times New Roman" w:hAnsi="Times New Roman" w:cs="Times New Roman"/>
          <w:sz w:val="20"/>
          <w:szCs w:val="20"/>
        </w:rPr>
      </w:pPr>
      <w:r w:rsidRPr="00317DFA">
        <w:rPr>
          <w:rFonts w:ascii="Times New Roman" w:eastAsia="Times New Roman" w:hAnsi="Times New Roman" w:cs="Times New Roman"/>
          <w:sz w:val="20"/>
          <w:szCs w:val="20"/>
        </w:rPr>
        <w:t>Bhittani MK et al.</w:t>
      </w:r>
      <w:r w:rsidRPr="00317DFA">
        <w:rPr>
          <w:rFonts w:ascii="Times New Roman" w:eastAsia="Times New Roman" w:hAnsi="Times New Roman" w:cs="Times New Roman"/>
          <w:sz w:val="20"/>
          <w:szCs w:val="20"/>
          <w:vertAlign w:val="superscript"/>
        </w:rPr>
        <w:t>15</w:t>
      </w:r>
      <w:r w:rsidRPr="00317DFA">
        <w:rPr>
          <w:rFonts w:ascii="Times New Roman" w:eastAsia="Times New Roman" w:hAnsi="Times New Roman" w:cs="Times New Roman"/>
          <w:sz w:val="20"/>
          <w:szCs w:val="20"/>
        </w:rPr>
        <w:t xml:space="preserve"> reported that phenytoin dressings also resulted in faster healing than conventional dressings, though the extent of ulcer reduction and granulation was less pronounced than observed with insulin in our study. This suggests that while phenytoin improves wound healing compared to conventional therapy, insulin provides superior outcomes. Our observations regarding glycemic control influencing healing are in agreement with Madishetty R et al.</w:t>
      </w:r>
      <w:r w:rsidRPr="00317DFA">
        <w:rPr>
          <w:rFonts w:ascii="Times New Roman" w:eastAsia="Times New Roman" w:hAnsi="Times New Roman" w:cs="Times New Roman"/>
          <w:sz w:val="20"/>
          <w:szCs w:val="20"/>
          <w:vertAlign w:val="superscript"/>
        </w:rPr>
        <w:t>12</w:t>
      </w:r>
      <w:r w:rsidRPr="00317DFA">
        <w:rPr>
          <w:rFonts w:ascii="Times New Roman" w:eastAsia="Times New Roman" w:hAnsi="Times New Roman" w:cs="Times New Roman"/>
          <w:sz w:val="20"/>
          <w:szCs w:val="20"/>
        </w:rPr>
        <w:t xml:space="preserve"> and Iqbal S et al.</w:t>
      </w:r>
      <w:r w:rsidRPr="00317DFA">
        <w:rPr>
          <w:rFonts w:ascii="Times New Roman" w:eastAsia="Times New Roman" w:hAnsi="Times New Roman" w:cs="Times New Roman"/>
          <w:sz w:val="20"/>
          <w:szCs w:val="20"/>
          <w:vertAlign w:val="superscript"/>
        </w:rPr>
        <w:t>16</w:t>
      </w:r>
      <w:r w:rsidRPr="00317DFA">
        <w:rPr>
          <w:rFonts w:ascii="Times New Roman" w:eastAsia="Times New Roman" w:hAnsi="Times New Roman" w:cs="Times New Roman"/>
          <w:sz w:val="20"/>
          <w:szCs w:val="20"/>
        </w:rPr>
        <w:t xml:space="preserve"> who emphasized that poorly controlled diabetes and longer disease duration adversely affect wound healing, reinforcing the importance of systemic management alongside local therapy.</w:t>
      </w:r>
    </w:p>
    <w:p w14:paraId="3FBAC873" w14:textId="77777777" w:rsidR="00CF12DB" w:rsidRDefault="00CF12DB" w:rsidP="00CF12DB">
      <w:pPr>
        <w:spacing w:after="0" w:line="240" w:lineRule="auto"/>
        <w:jc w:val="both"/>
        <w:rPr>
          <w:rFonts w:ascii="Times New Roman" w:eastAsia="Times New Roman" w:hAnsi="Times New Roman" w:cs="Times New Roman"/>
          <w:sz w:val="20"/>
          <w:szCs w:val="20"/>
        </w:rPr>
      </w:pPr>
    </w:p>
    <w:p w14:paraId="412ABEDD" w14:textId="72F86EAD" w:rsidR="009535A6" w:rsidRPr="00317DFA" w:rsidRDefault="009535A6" w:rsidP="00CF12D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sz w:val="20"/>
          <w:szCs w:val="20"/>
        </w:rPr>
        <w:t>Furthermore, Stergioti A et al.</w:t>
      </w:r>
      <w:r w:rsidRPr="00317DFA">
        <w:rPr>
          <w:rFonts w:ascii="Times New Roman" w:eastAsia="Times New Roman" w:hAnsi="Times New Roman" w:cs="Times New Roman"/>
          <w:sz w:val="20"/>
          <w:szCs w:val="20"/>
          <w:vertAlign w:val="superscript"/>
        </w:rPr>
        <w:t>17</w:t>
      </w:r>
      <w:r w:rsidRPr="00317DFA">
        <w:rPr>
          <w:rFonts w:ascii="Times New Roman" w:eastAsia="Times New Roman" w:hAnsi="Times New Roman" w:cs="Times New Roman"/>
          <w:sz w:val="20"/>
          <w:szCs w:val="20"/>
        </w:rPr>
        <w:t xml:space="preserve"> demonstrated that insulin-treated ulcers had significantly faster reductions in area, length, width, and depth, with shorter median healing times, findings which directly parallel the accelerated healing and early granulation observed in the current study. Across these studies, topical insulin consistently shows faster wound closure, improved granulation, and shorter healing times compared to phenytoin or saline, confirming its efficacy as a local therapeutic agent in diabetic foot ulcers.</w:t>
      </w:r>
    </w:p>
    <w:p w14:paraId="1FE8FA15" w14:textId="77777777" w:rsidR="009535A6" w:rsidRPr="00317DFA" w:rsidRDefault="009535A6" w:rsidP="009535A6">
      <w:pPr>
        <w:spacing w:before="240"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CONCLUSION</w:t>
      </w:r>
    </w:p>
    <w:p w14:paraId="47CEAA48" w14:textId="77777777" w:rsidR="009535A6" w:rsidRPr="00317DFA" w:rsidRDefault="009535A6" w:rsidP="00CF12D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sz w:val="20"/>
          <w:szCs w:val="20"/>
        </w:rPr>
        <w:t xml:space="preserve">Topical insulin demonstrated superior efficacy over topical phenytoin in promoting diabetic foot ulcer healing, as evidenced by faster reduction in ulcer size, earlier granulation tissue formation, and shorter healing time. Patients in the insulin group showed consistently better outcomes across all follow-up periods. Additionally, ulcer healing was significantly influenced by duration of diabetes and glycemic control, with poorer outcomes observed in long-standing and uncontrolled diabetes. </w:t>
      </w:r>
      <w:r w:rsidRPr="00317DFA">
        <w:rPr>
          <w:rFonts w:ascii="Times New Roman" w:eastAsia="Times New Roman" w:hAnsi="Times New Roman" w:cs="Times New Roman"/>
          <w:sz w:val="20"/>
          <w:szCs w:val="20"/>
        </w:rPr>
        <w:lastRenderedPageBreak/>
        <w:t>These findings highlight the importance of metabolic optimization alongside local wound care. Topical insulin appears to be a safe, effective, and promising therapeutic option for enhancing wound healing in diabetic foot ulcer management.</w:t>
      </w:r>
    </w:p>
    <w:p w14:paraId="5F7998AC" w14:textId="77777777" w:rsidR="00E97F5B" w:rsidRDefault="00E97F5B" w:rsidP="00E97F5B">
      <w:pPr>
        <w:spacing w:after="0" w:line="240" w:lineRule="auto"/>
        <w:jc w:val="both"/>
        <w:rPr>
          <w:rFonts w:ascii="Times New Roman" w:eastAsia="Times New Roman" w:hAnsi="Times New Roman" w:cs="Times New Roman"/>
          <w:b/>
          <w:bCs/>
          <w:color w:val="000000"/>
          <w:sz w:val="20"/>
          <w:szCs w:val="20"/>
        </w:rPr>
      </w:pPr>
    </w:p>
    <w:p w14:paraId="6B647856" w14:textId="2CF05EB3" w:rsidR="00E97F5B" w:rsidRDefault="00E97F5B" w:rsidP="00E97F5B">
      <w:pPr>
        <w:spacing w:after="0" w:line="240" w:lineRule="auto"/>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b/>
          <w:bCs/>
          <w:color w:val="000000"/>
          <w:sz w:val="20"/>
          <w:szCs w:val="20"/>
        </w:rPr>
        <w:t>Financial Support and Sponsorship</w:t>
      </w:r>
      <w:r>
        <w:rPr>
          <w:rFonts w:ascii="Times New Roman" w:eastAsia="Times New Roman" w:hAnsi="Times New Roman" w:cs="Times New Roman"/>
          <w:color w:val="000000"/>
          <w:sz w:val="20"/>
          <w:szCs w:val="20"/>
        </w:rPr>
        <w:t xml:space="preserve">: </w:t>
      </w:r>
      <w:r w:rsidR="009535A6" w:rsidRPr="00317DFA">
        <w:rPr>
          <w:rFonts w:ascii="Times New Roman" w:eastAsia="Times New Roman" w:hAnsi="Times New Roman" w:cs="Times New Roman"/>
          <w:color w:val="000000"/>
          <w:sz w:val="20"/>
          <w:szCs w:val="20"/>
        </w:rPr>
        <w:t xml:space="preserve">Nil. </w:t>
      </w:r>
    </w:p>
    <w:p w14:paraId="16DC9BAF" w14:textId="1D996A73" w:rsidR="009535A6" w:rsidRPr="00E97F5B" w:rsidRDefault="00E97F5B" w:rsidP="00E97F5B">
      <w:pPr>
        <w:spacing w:after="0" w:line="240" w:lineRule="auto"/>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b/>
          <w:bCs/>
          <w:color w:val="000000"/>
          <w:sz w:val="20"/>
          <w:szCs w:val="20"/>
        </w:rPr>
        <w:t>Conflicts Of Interest</w:t>
      </w:r>
      <w:r>
        <w:rPr>
          <w:rFonts w:ascii="Times New Roman" w:eastAsia="Times New Roman" w:hAnsi="Times New Roman" w:cs="Times New Roman"/>
          <w:color w:val="000000"/>
          <w:sz w:val="20"/>
          <w:szCs w:val="20"/>
        </w:rPr>
        <w:t xml:space="preserve">: </w:t>
      </w:r>
      <w:r w:rsidR="009535A6" w:rsidRPr="00317DFA">
        <w:rPr>
          <w:rFonts w:ascii="Times New Roman" w:eastAsia="Times New Roman" w:hAnsi="Times New Roman" w:cs="Times New Roman"/>
          <w:color w:val="000000"/>
          <w:sz w:val="20"/>
          <w:szCs w:val="20"/>
        </w:rPr>
        <w:t>There are no conflicts of interest</w:t>
      </w:r>
    </w:p>
    <w:p w14:paraId="072C55BE" w14:textId="77777777" w:rsidR="00E97F5B" w:rsidRDefault="00E97F5B" w:rsidP="00E97F5B">
      <w:pPr>
        <w:spacing w:after="0" w:line="240" w:lineRule="auto"/>
        <w:jc w:val="both"/>
        <w:rPr>
          <w:rFonts w:ascii="Times New Roman" w:eastAsia="Times New Roman" w:hAnsi="Times New Roman" w:cs="Times New Roman"/>
          <w:b/>
          <w:bCs/>
          <w:sz w:val="20"/>
          <w:szCs w:val="20"/>
        </w:rPr>
      </w:pPr>
    </w:p>
    <w:p w14:paraId="284D5108" w14:textId="39FF033F" w:rsidR="009535A6" w:rsidRPr="00317DFA" w:rsidRDefault="009535A6" w:rsidP="00E97F5B">
      <w:pPr>
        <w:spacing w:after="0" w:line="240" w:lineRule="auto"/>
        <w:jc w:val="both"/>
        <w:rPr>
          <w:rFonts w:ascii="Times New Roman" w:eastAsia="Times New Roman" w:hAnsi="Times New Roman" w:cs="Times New Roman"/>
          <w:b/>
          <w:bCs/>
          <w:sz w:val="20"/>
          <w:szCs w:val="20"/>
        </w:rPr>
      </w:pPr>
      <w:r w:rsidRPr="00317DFA">
        <w:rPr>
          <w:rFonts w:ascii="Times New Roman" w:eastAsia="Times New Roman" w:hAnsi="Times New Roman" w:cs="Times New Roman"/>
          <w:b/>
          <w:bCs/>
          <w:sz w:val="20"/>
          <w:szCs w:val="20"/>
        </w:rPr>
        <w:t>REFERENCES</w:t>
      </w:r>
    </w:p>
    <w:p w14:paraId="392A6C2F" w14:textId="77777777" w:rsidR="009535A6" w:rsidRPr="00317DFA" w:rsidRDefault="009535A6" w:rsidP="009535A6">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color w:val="222222"/>
          <w:sz w:val="20"/>
          <w:szCs w:val="20"/>
          <w:highlight w:val="white"/>
        </w:rPr>
        <w:t>Hossain MJ, Al‐Mamun M, Islam MR. Diabetes mellitus, the fastest growing global public health concern: Early detection should be focused. Health science reports. 2024 Mar;7(3):e2004.</w:t>
      </w:r>
    </w:p>
    <w:p w14:paraId="2B851D78" w14:textId="77777777" w:rsidR="009535A6" w:rsidRPr="00317DFA" w:rsidRDefault="009535A6" w:rsidP="009535A6">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color w:val="222222"/>
          <w:sz w:val="20"/>
          <w:szCs w:val="20"/>
          <w:highlight w:val="white"/>
        </w:rPr>
        <w:t>Arokiasamy P, Salvi S, Selvamani Y. Global burden of diabetes mellitus. InHandbook of global health 2021 May 4 (pp. 1-44). Cham: Springer International Publishing.</w:t>
      </w:r>
    </w:p>
    <w:p w14:paraId="2CC848A1" w14:textId="77777777" w:rsidR="009535A6" w:rsidRPr="00317DFA" w:rsidRDefault="009535A6" w:rsidP="009535A6">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color w:val="222222"/>
          <w:sz w:val="20"/>
          <w:szCs w:val="20"/>
          <w:highlight w:val="white"/>
        </w:rPr>
        <w:t>Edmonds M, Manu C, Vas P. The current burden of diabetic foot disease. Journal of clinical orthopaedics and trauma. 2021 Jun 1;17:88-93.</w:t>
      </w:r>
    </w:p>
    <w:p w14:paraId="1A971FA2" w14:textId="77777777" w:rsidR="009535A6" w:rsidRPr="00317DFA" w:rsidRDefault="009535A6" w:rsidP="009535A6">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color w:val="222222"/>
          <w:sz w:val="20"/>
          <w:szCs w:val="20"/>
          <w:highlight w:val="white"/>
        </w:rPr>
        <w:t>Dawi J, Tumanyan K, Tomas K, Misakyan Y, Gargaloyan A, Gonzalez E et al. Diabetic foot ulcers: pathophysiology, immune dysregulation, and emerging therapeutic strategies. Biomedicines. 2025 Apr 29;13(5):1076.’</w:t>
      </w:r>
    </w:p>
    <w:p w14:paraId="32A546D8" w14:textId="77777777" w:rsidR="009535A6" w:rsidRPr="00317DFA" w:rsidRDefault="009535A6" w:rsidP="009535A6">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color w:val="222222"/>
          <w:sz w:val="20"/>
          <w:szCs w:val="20"/>
          <w:highlight w:val="white"/>
        </w:rPr>
        <w:t>Falanga V. Wound healing and its impairment in the diabetic foot. The Lancet. 2005 Nov 12;366(9498):1736-43.</w:t>
      </w:r>
    </w:p>
    <w:p w14:paraId="099BA0C4" w14:textId="77777777" w:rsidR="009535A6" w:rsidRPr="00317DFA" w:rsidRDefault="009535A6" w:rsidP="009535A6">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color w:val="222222"/>
          <w:sz w:val="20"/>
          <w:szCs w:val="20"/>
          <w:highlight w:val="white"/>
        </w:rPr>
        <w:t>Sussman G. An update on wound management. Australian prescriber. 2023 Aug 22;46(2):29.</w:t>
      </w:r>
    </w:p>
    <w:p w14:paraId="32733FF1" w14:textId="77777777" w:rsidR="009535A6" w:rsidRPr="00317DFA" w:rsidRDefault="009535A6" w:rsidP="009535A6">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color w:val="222222"/>
          <w:sz w:val="20"/>
          <w:szCs w:val="20"/>
          <w:highlight w:val="white"/>
        </w:rPr>
        <w:t>Powers JG, Higham C, Broussard K, Phillips TJ. Wound healing and treating wounds: chronic wound care and management. Journal of the American Academy of Dermatology. 2016 Apr 1;74(4):607-25.</w:t>
      </w:r>
    </w:p>
    <w:p w14:paraId="0A68D7FF" w14:textId="77777777" w:rsidR="009535A6" w:rsidRPr="00317DFA" w:rsidRDefault="009535A6" w:rsidP="009535A6">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color w:val="222222"/>
          <w:sz w:val="20"/>
          <w:szCs w:val="20"/>
          <w:highlight w:val="white"/>
        </w:rPr>
        <w:t>Kaplani K, Koutsi S, Armenis V, Skondra FG, Karantzelis N, Tsaniras SC et al.Wound healing related agents: Ongoing research and perspectives. Advanced Drug Delivery Reviews. 2018 Apr 1;129:242-53.</w:t>
      </w:r>
    </w:p>
    <w:p w14:paraId="73330423" w14:textId="77777777" w:rsidR="009535A6" w:rsidRPr="00317DFA" w:rsidRDefault="009535A6" w:rsidP="009535A6">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color w:val="222222"/>
          <w:sz w:val="20"/>
          <w:szCs w:val="20"/>
          <w:highlight w:val="white"/>
        </w:rPr>
        <w:t>Wang J, Xu J. Effects of topical insulin on wound healing: a review of animal and human evidences. Diabetes, metabolic syndrome and obesity. 2020 Mar 13:719-27.</w:t>
      </w:r>
    </w:p>
    <w:p w14:paraId="07329CE4" w14:textId="77777777" w:rsidR="009535A6" w:rsidRPr="00317DFA" w:rsidRDefault="009535A6" w:rsidP="009535A6">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color w:val="222222"/>
          <w:sz w:val="20"/>
          <w:szCs w:val="20"/>
          <w:highlight w:val="white"/>
        </w:rPr>
        <w:t>Shakeri F, Tebyanian H, Karami A, Babavalian H, Tahmasbi MH. Effect of topical phenytoin on wound healing. Trauma Mon. 2017 Sep 1;22(5):e35488.</w:t>
      </w:r>
    </w:p>
    <w:p w14:paraId="3BB99924" w14:textId="77777777" w:rsidR="009535A6" w:rsidRPr="00317DFA" w:rsidRDefault="009535A6" w:rsidP="009535A6">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color w:val="222222"/>
          <w:sz w:val="20"/>
          <w:szCs w:val="20"/>
          <w:highlight w:val="white"/>
        </w:rPr>
        <w:t>Sadiq K, Shivakumar Y, Burra E, Shahid K, Tamene YT, Mody SP et al. Topical phenytoin improves wound healing with analgesic and antibacterial properties and minimal side effects: a systematic review. Wounds: a compendium of clinical research and practice. 2024 Feb 1;36(2):50-60.</w:t>
      </w:r>
    </w:p>
    <w:p w14:paraId="5A34CA66" w14:textId="77777777" w:rsidR="009535A6" w:rsidRPr="00317DFA" w:rsidRDefault="009535A6" w:rsidP="009535A6">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color w:val="000000"/>
          <w:sz w:val="20"/>
          <w:szCs w:val="20"/>
        </w:rPr>
        <w:t>Madishetty R, Sridhar KS, Sushmitha A, Rathod S. A prospective and comparative study on “impact of phenytoin dressing on diabetic foot wound healing rate”. World J Pharm Res. 2025;14(7):1064–1082.</w:t>
      </w:r>
    </w:p>
    <w:p w14:paraId="3645A078" w14:textId="77777777" w:rsidR="009535A6" w:rsidRPr="00317DFA" w:rsidRDefault="009535A6" w:rsidP="009535A6">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color w:val="222222"/>
          <w:sz w:val="20"/>
          <w:szCs w:val="20"/>
          <w:highlight w:val="white"/>
        </w:rPr>
        <w:t>Nagaraj J, Subbiah V. The efficacy of local insulin versus topical phenytoin or normal saline in diabetic foot ulcer management: a prospective comparative study. Cureus. 2022 Oct 19;14(10).</w:t>
      </w:r>
    </w:p>
    <w:p w14:paraId="2829E746" w14:textId="77777777" w:rsidR="009535A6" w:rsidRPr="00317DFA" w:rsidRDefault="009535A6" w:rsidP="009535A6">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color w:val="222222"/>
          <w:sz w:val="20"/>
          <w:szCs w:val="20"/>
          <w:highlight w:val="white"/>
        </w:rPr>
        <w:t>Biradar D, Patil MB, Baloorkar R, Sindagikar V, Manoop K. Topical Insulin and Normal Saline in Chronic Diabetic Foot Ulcers-A Prospective Analytical Study. Journal of Clinical &amp; Diagnostic Research. 2020 Aug 1;14(8).</w:t>
      </w:r>
    </w:p>
    <w:p w14:paraId="6A9A2D70" w14:textId="77777777" w:rsidR="009535A6" w:rsidRPr="00317DFA" w:rsidRDefault="009535A6" w:rsidP="009535A6">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color w:val="222222"/>
          <w:sz w:val="20"/>
          <w:szCs w:val="20"/>
          <w:highlight w:val="white"/>
        </w:rPr>
        <w:t>Bhittani MK, Rehman M, Altaf HN, Altaf OS. Effectiveness of topical insulin dressings in management of diabetic foot ulcers. World Journal of Surgery. 2020 Jun;44(6):2028-33.</w:t>
      </w:r>
    </w:p>
    <w:p w14:paraId="37CE06B1" w14:textId="77777777" w:rsidR="009535A6" w:rsidRPr="00317DFA" w:rsidRDefault="009535A6" w:rsidP="009535A6">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color w:val="222222"/>
          <w:sz w:val="20"/>
          <w:szCs w:val="20"/>
          <w:highlight w:val="white"/>
        </w:rPr>
        <w:t>Iqbal S, Zulfiqar B, Zufishan S. Effectiveness of topical insulin in the management of diabetic foot ulcers. The Professional Medical Journal. 2019 Sep 10;26(09):1487-90.</w:t>
      </w:r>
    </w:p>
    <w:p w14:paraId="43103E23" w14:textId="75E60FBD" w:rsidR="00BE488D" w:rsidRPr="009535A6" w:rsidRDefault="009535A6" w:rsidP="009535A6">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17DFA">
        <w:rPr>
          <w:rFonts w:ascii="Times New Roman" w:eastAsia="Times New Roman" w:hAnsi="Times New Roman" w:cs="Times New Roman"/>
          <w:color w:val="222222"/>
          <w:sz w:val="20"/>
          <w:szCs w:val="20"/>
          <w:highlight w:val="white"/>
        </w:rPr>
        <w:t>Stergioti A, Karra V, Chatzopoulou M, Kalafati M. The Effect of Local Use of Insulin on Wound-Ulcer in Diabetic or Non-Diabetic Patients: A Scoping Review. The International Journal of Lower Extremity Wounds. 2025 Apr 29:15347346251338182</w:t>
      </w:r>
      <w:r>
        <w:rPr>
          <w:rFonts w:ascii="Times New Roman" w:eastAsia="Times New Roman" w:hAnsi="Times New Roman" w:cs="Times New Roman"/>
          <w:color w:val="222222"/>
          <w:sz w:val="20"/>
          <w:szCs w:val="20"/>
        </w:rPr>
        <w:t>.</w:t>
      </w:r>
    </w:p>
    <w:sectPr w:rsidR="00BE488D" w:rsidRPr="009535A6" w:rsidSect="00DA4A20">
      <w:footerReference w:type="default" r:id="rId11"/>
      <w:pgSz w:w="11906" w:h="16838" w:code="9"/>
      <w:pgMar w:top="1080" w:right="1080" w:bottom="1440" w:left="1080" w:header="720" w:footer="645" w:gutter="0"/>
      <w:pgNumType w:start="132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38832" w14:textId="77777777" w:rsidR="00804EC7" w:rsidRDefault="00804EC7">
      <w:pPr>
        <w:spacing w:after="0" w:line="240" w:lineRule="auto"/>
      </w:pPr>
      <w:r>
        <w:separator/>
      </w:r>
    </w:p>
  </w:endnote>
  <w:endnote w:type="continuationSeparator" w:id="0">
    <w:p w14:paraId="40655154" w14:textId="77777777" w:rsidR="00804EC7" w:rsidRDefault="00804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45 Light">
    <w:altName w:val="Arial"/>
    <w:charset w:val="00"/>
    <w:family w:val="swiss"/>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771"/>
      <w:gridCol w:w="975"/>
    </w:tblGrid>
    <w:tr w:rsidR="00BE488D" w14:paraId="5A006BAE" w14:textId="77777777">
      <w:tc>
        <w:tcPr>
          <w:tcW w:w="4500" w:type="pct"/>
          <w:tcBorders>
            <w:top w:val="single" w:sz="4" w:space="0" w:color="000000"/>
          </w:tcBorders>
        </w:tcPr>
        <w:p w14:paraId="22712E47" w14:textId="1503416A" w:rsidR="00BE488D" w:rsidRDefault="00FB3AA2">
          <w:pPr>
            <w:tabs>
              <w:tab w:val="center" w:pos="4513"/>
              <w:tab w:val="right" w:pos="9026"/>
            </w:tabs>
            <w:spacing w:after="0" w:line="240" w:lineRule="auto"/>
            <w:rPr>
              <w:rFonts w:cs="Vrinda"/>
              <w:i/>
              <w:iCs/>
              <w:kern w:val="0"/>
              <w:sz w:val="18"/>
              <w:szCs w:val="18"/>
              <w:lang w:val="en-IN"/>
              <w14:ligatures w14:val="none"/>
            </w:rPr>
          </w:pPr>
          <w:r w:rsidRPr="00FB3AA2">
            <w:rPr>
              <w:rFonts w:cs="Vrinda"/>
              <w:b/>
              <w:bCs/>
              <w:color w:val="17365D"/>
              <w:kern w:val="0"/>
              <w:sz w:val="18"/>
              <w:szCs w:val="18"/>
              <w:lang w:val="en-IN"/>
              <w14:ligatures w14:val="none"/>
            </w:rPr>
            <w:t>Dr Saipriya S V</w:t>
          </w:r>
          <w:r w:rsidR="00000000">
            <w:rPr>
              <w:rFonts w:cs="Vrinda"/>
              <w:b/>
              <w:bCs/>
              <w:color w:val="17365D"/>
              <w:kern w:val="0"/>
              <w:sz w:val="18"/>
              <w:szCs w:val="18"/>
              <w:lang w:val="en-IN"/>
              <w14:ligatures w14:val="none"/>
            </w:rPr>
            <w:t>,</w:t>
          </w:r>
          <w:r w:rsidR="00000000">
            <w:rPr>
              <w:rFonts w:cs="Vrinda"/>
              <w:kern w:val="0"/>
              <w:sz w:val="18"/>
              <w:szCs w:val="18"/>
              <w:lang w:val="en-IN"/>
              <w14:ligatures w14:val="none"/>
            </w:rPr>
            <w:t xml:space="preserve"> </w:t>
          </w:r>
          <w:r w:rsidR="00000000">
            <w:rPr>
              <w:rFonts w:cs="Vrinda"/>
              <w:i/>
              <w:iCs/>
              <w:kern w:val="0"/>
              <w:sz w:val="18"/>
              <w:szCs w:val="18"/>
              <w:lang w:val="en-IN"/>
              <w14:ligatures w14:val="none"/>
            </w:rPr>
            <w:t>et al.</w:t>
          </w:r>
          <w:r w:rsidR="00000000">
            <w:t xml:space="preserve"> </w:t>
          </w:r>
          <w:r w:rsidRPr="00FB3AA2">
            <w:rPr>
              <w:rFonts w:cs="Vrinda"/>
              <w:kern w:val="0"/>
              <w:sz w:val="18"/>
              <w:szCs w:val="18"/>
              <w:lang w:val="en-IN"/>
              <w14:ligatures w14:val="none"/>
            </w:rPr>
            <w:t xml:space="preserve">Comparison </w:t>
          </w:r>
          <w:r w:rsidRPr="00FB3AA2">
            <w:rPr>
              <w:rFonts w:cs="Vrinda"/>
              <w:kern w:val="0"/>
              <w:sz w:val="18"/>
              <w:szCs w:val="18"/>
              <w:lang w:val="en-IN"/>
              <w14:ligatures w14:val="none"/>
            </w:rPr>
            <w:t>of</w:t>
          </w:r>
          <w:r w:rsidRPr="00FB3AA2">
            <w:rPr>
              <w:rFonts w:cs="Vrinda"/>
              <w:kern w:val="0"/>
              <w:sz w:val="18"/>
              <w:szCs w:val="18"/>
              <w:lang w:val="en-IN"/>
              <w14:ligatures w14:val="none"/>
            </w:rPr>
            <w:t xml:space="preserve"> the Topical Insulin Versus Topical Phenytoin in Healing of Diabetic Foot Ulcers</w:t>
          </w:r>
          <w:r w:rsidR="00000000">
            <w:rPr>
              <w:rFonts w:cs="Vrinda"/>
              <w:i/>
              <w:iCs/>
              <w:kern w:val="0"/>
              <w:sz w:val="18"/>
              <w:szCs w:val="18"/>
              <w:lang w:val="en-IN"/>
              <w14:ligatures w14:val="none"/>
            </w:rPr>
            <w:t xml:space="preserve">. Int. J Med. Pharm. Res., 7(2): </w:t>
          </w:r>
          <w:r w:rsidR="00DA4A20">
            <w:rPr>
              <w:rFonts w:cs="Vrinda"/>
              <w:i/>
              <w:iCs/>
              <w:kern w:val="0"/>
              <w:sz w:val="18"/>
              <w:szCs w:val="18"/>
              <w:lang w:val="en-IN"/>
              <w14:ligatures w14:val="none"/>
            </w:rPr>
            <w:t>1321</w:t>
          </w:r>
          <w:r w:rsidR="00000000">
            <w:rPr>
              <w:rFonts w:cs="Vrinda"/>
              <w:i/>
              <w:iCs/>
              <w:kern w:val="0"/>
              <w:sz w:val="18"/>
              <w:szCs w:val="18"/>
              <w:lang w:val="en-IN"/>
              <w14:ligatures w14:val="none"/>
            </w:rPr>
            <w:t>‐</w:t>
          </w:r>
          <w:r w:rsidR="00FF575E">
            <w:rPr>
              <w:rFonts w:cs="Vrinda"/>
              <w:i/>
              <w:iCs/>
              <w:kern w:val="0"/>
              <w:sz w:val="18"/>
              <w:szCs w:val="18"/>
              <w:lang w:val="en-IN"/>
              <w14:ligatures w14:val="none"/>
            </w:rPr>
            <w:t>13</w:t>
          </w:r>
          <w:r w:rsidR="00DA4A20">
            <w:rPr>
              <w:rFonts w:cs="Vrinda"/>
              <w:i/>
              <w:iCs/>
              <w:kern w:val="0"/>
              <w:sz w:val="18"/>
              <w:szCs w:val="18"/>
              <w:lang w:val="en-IN"/>
              <w14:ligatures w14:val="none"/>
            </w:rPr>
            <w:t>25</w:t>
          </w:r>
          <w:r w:rsidR="00000000">
            <w:rPr>
              <w:rFonts w:cs="Vrinda"/>
              <w:i/>
              <w:iCs/>
              <w:kern w:val="0"/>
              <w:sz w:val="18"/>
              <w:szCs w:val="18"/>
              <w:lang w:val="en-IN"/>
              <w14:ligatures w14:val="none"/>
            </w:rPr>
            <w:t>, 2026</w:t>
          </w:r>
        </w:p>
      </w:tc>
      <w:tc>
        <w:tcPr>
          <w:tcW w:w="500" w:type="pct"/>
          <w:tcBorders>
            <w:top w:val="single" w:sz="4" w:space="0" w:color="auto"/>
          </w:tcBorders>
        </w:tcPr>
        <w:p w14:paraId="6B092C96" w14:textId="77777777" w:rsidR="00BE488D" w:rsidRDefault="00000000">
          <w:pPr>
            <w:tabs>
              <w:tab w:val="center" w:pos="4513"/>
              <w:tab w:val="right" w:pos="9026"/>
            </w:tabs>
            <w:spacing w:after="0" w:line="240" w:lineRule="auto"/>
            <w:rPr>
              <w:rFonts w:cs="Vrinda"/>
              <w:b/>
              <w:bCs/>
              <w:kern w:val="0"/>
              <w:sz w:val="22"/>
              <w:szCs w:val="22"/>
              <w:lang w:val="en-IN"/>
              <w14:ligatures w14:val="none"/>
            </w:rPr>
          </w:pPr>
          <w:r>
            <w:rPr>
              <w:rFonts w:cs="Vrinda"/>
              <w:b/>
              <w:bCs/>
              <w:kern w:val="0"/>
              <w:sz w:val="22"/>
              <w:szCs w:val="22"/>
              <w:lang w:val="en-IN"/>
              <w14:ligatures w14:val="none"/>
            </w:rPr>
            <w:fldChar w:fldCharType="begin"/>
          </w:r>
          <w:r>
            <w:rPr>
              <w:rFonts w:cs="Vrinda"/>
              <w:b/>
              <w:bCs/>
              <w:kern w:val="0"/>
              <w:sz w:val="22"/>
              <w:szCs w:val="22"/>
              <w:lang w:val="en-IN"/>
              <w14:ligatures w14:val="none"/>
            </w:rPr>
            <w:instrText xml:space="preserve"> PAGE   \* MERGEFORMAT </w:instrText>
          </w:r>
          <w:r>
            <w:rPr>
              <w:rFonts w:cs="Vrinda"/>
              <w:b/>
              <w:bCs/>
              <w:kern w:val="0"/>
              <w:sz w:val="22"/>
              <w:szCs w:val="22"/>
              <w:lang w:val="en-IN"/>
              <w14:ligatures w14:val="none"/>
            </w:rPr>
            <w:fldChar w:fldCharType="separate"/>
          </w:r>
          <w:r>
            <w:rPr>
              <w:rFonts w:cs="Vrinda"/>
              <w:b/>
              <w:bCs/>
              <w:noProof/>
              <w:kern w:val="0"/>
              <w:sz w:val="22"/>
              <w:szCs w:val="22"/>
              <w:lang w:val="en-IN"/>
              <w14:ligatures w14:val="none"/>
            </w:rPr>
            <w:t>8</w:t>
          </w:r>
          <w:r>
            <w:rPr>
              <w:rFonts w:cs="Vrinda"/>
              <w:b/>
              <w:bCs/>
              <w:kern w:val="0"/>
              <w:sz w:val="22"/>
              <w:szCs w:val="22"/>
              <w:lang w:val="en-IN"/>
              <w14:ligatures w14:val="none"/>
            </w:rPr>
            <w:fldChar w:fldCharType="end"/>
          </w:r>
        </w:p>
      </w:tc>
    </w:tr>
  </w:tbl>
  <w:p w14:paraId="5D2FCF58" w14:textId="77777777" w:rsidR="00BE488D" w:rsidRDefault="00BE4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76382" w14:textId="77777777" w:rsidR="00804EC7" w:rsidRDefault="00804EC7">
      <w:pPr>
        <w:spacing w:after="0" w:line="240" w:lineRule="auto"/>
      </w:pPr>
      <w:r>
        <w:separator/>
      </w:r>
    </w:p>
  </w:footnote>
  <w:footnote w:type="continuationSeparator" w:id="0">
    <w:p w14:paraId="7ABF4BCE" w14:textId="77777777" w:rsidR="00804EC7" w:rsidRDefault="00804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E74A5CE"/>
    <w:lvl w:ilvl="0">
      <w:start w:val="4"/>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hybridMultilevel"/>
    <w:tmpl w:val="B7EC4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EAFA3D80"/>
    <w:lvl w:ilvl="0" w:tplc="C71C289E">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0000004"/>
    <w:multiLevelType w:val="multilevel"/>
    <w:tmpl w:val="2DA4329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E1808F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055C17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0000007"/>
    <w:multiLevelType w:val="multilevel"/>
    <w:tmpl w:val="CB8A0F9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hybridMultilevel"/>
    <w:tmpl w:val="BEC4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3C90D104"/>
    <w:lvl w:ilvl="0" w:tplc="B59C92FC">
      <w:start w:val="1"/>
      <w:numFmt w:val="decimal"/>
      <w:lvlText w:val="%1."/>
      <w:lvlJc w:val="left"/>
      <w:pPr>
        <w:ind w:left="852" w:hanging="492"/>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000000A"/>
    <w:multiLevelType w:val="multilevel"/>
    <w:tmpl w:val="9FC86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000000B"/>
    <w:multiLevelType w:val="multilevel"/>
    <w:tmpl w:val="1F742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000000C"/>
    <w:multiLevelType w:val="multilevel"/>
    <w:tmpl w:val="90C2E8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000000D"/>
    <w:multiLevelType w:val="multilevel"/>
    <w:tmpl w:val="C108D6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000000E"/>
    <w:multiLevelType w:val="hybridMultilevel"/>
    <w:tmpl w:val="56FA3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DC2E90F6"/>
    <w:lvl w:ilvl="0" w:tplc="8E7A511A">
      <w:start w:val="2"/>
      <w:numFmt w:val="bullet"/>
      <w:lvlText w:val="-"/>
      <w:lvlJc w:val="left"/>
      <w:pPr>
        <w:ind w:left="460" w:hanging="360"/>
      </w:pPr>
      <w:rPr>
        <w:rFonts w:ascii="Times New Roman" w:eastAsia="Georgia"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00000010"/>
    <w:multiLevelType w:val="hybridMultilevel"/>
    <w:tmpl w:val="5A92F09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multilevel"/>
    <w:tmpl w:val="69B603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hybridMultilevel"/>
    <w:tmpl w:val="E3E09A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00000013"/>
    <w:multiLevelType w:val="multilevel"/>
    <w:tmpl w:val="E0CA37B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15:restartNumberingAfterBreak="0">
    <w:nsid w:val="00000014"/>
    <w:multiLevelType w:val="hybridMultilevel"/>
    <w:tmpl w:val="4C468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517206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0000016"/>
    <w:multiLevelType w:val="multilevel"/>
    <w:tmpl w:val="6AFA7B7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 w15:restartNumberingAfterBreak="0">
    <w:nsid w:val="00000017"/>
    <w:multiLevelType w:val="multilevel"/>
    <w:tmpl w:val="BEDA5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00000018"/>
    <w:multiLevelType w:val="multilevel"/>
    <w:tmpl w:val="0CB036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0000019"/>
    <w:multiLevelType w:val="hybridMultilevel"/>
    <w:tmpl w:val="666CD61A"/>
    <w:lvl w:ilvl="0" w:tplc="C568CDF2">
      <w:start w:val="1"/>
      <w:numFmt w:val="decimal"/>
      <w:lvlText w:val="%1."/>
      <w:lvlJc w:val="left"/>
      <w:pPr>
        <w:ind w:left="-280" w:hanging="360"/>
      </w:pPr>
      <w:rPr>
        <w:rFonts w:hint="default"/>
      </w:rPr>
    </w:lvl>
    <w:lvl w:ilvl="1" w:tplc="04090019" w:tentative="1">
      <w:start w:val="1"/>
      <w:numFmt w:val="lowerLetter"/>
      <w:lvlText w:val="%2."/>
      <w:lvlJc w:val="left"/>
      <w:pPr>
        <w:ind w:left="440" w:hanging="360"/>
      </w:pPr>
    </w:lvl>
    <w:lvl w:ilvl="2" w:tplc="0409001B" w:tentative="1">
      <w:start w:val="1"/>
      <w:numFmt w:val="lowerRoman"/>
      <w:lvlText w:val="%3."/>
      <w:lvlJc w:val="right"/>
      <w:pPr>
        <w:ind w:left="1160" w:hanging="180"/>
      </w:pPr>
    </w:lvl>
    <w:lvl w:ilvl="3" w:tplc="0409000F" w:tentative="1">
      <w:start w:val="1"/>
      <w:numFmt w:val="decimal"/>
      <w:lvlText w:val="%4."/>
      <w:lvlJc w:val="left"/>
      <w:pPr>
        <w:ind w:left="1880" w:hanging="360"/>
      </w:pPr>
    </w:lvl>
    <w:lvl w:ilvl="4" w:tplc="04090019" w:tentative="1">
      <w:start w:val="1"/>
      <w:numFmt w:val="lowerLetter"/>
      <w:lvlText w:val="%5."/>
      <w:lvlJc w:val="left"/>
      <w:pPr>
        <w:ind w:left="2600" w:hanging="360"/>
      </w:pPr>
    </w:lvl>
    <w:lvl w:ilvl="5" w:tplc="0409001B" w:tentative="1">
      <w:start w:val="1"/>
      <w:numFmt w:val="lowerRoman"/>
      <w:lvlText w:val="%6."/>
      <w:lvlJc w:val="right"/>
      <w:pPr>
        <w:ind w:left="3320" w:hanging="180"/>
      </w:pPr>
    </w:lvl>
    <w:lvl w:ilvl="6" w:tplc="0409000F" w:tentative="1">
      <w:start w:val="1"/>
      <w:numFmt w:val="decimal"/>
      <w:lvlText w:val="%7."/>
      <w:lvlJc w:val="left"/>
      <w:pPr>
        <w:ind w:left="4040" w:hanging="360"/>
      </w:pPr>
    </w:lvl>
    <w:lvl w:ilvl="7" w:tplc="04090019" w:tentative="1">
      <w:start w:val="1"/>
      <w:numFmt w:val="lowerLetter"/>
      <w:lvlText w:val="%8."/>
      <w:lvlJc w:val="left"/>
      <w:pPr>
        <w:ind w:left="4760" w:hanging="360"/>
      </w:pPr>
    </w:lvl>
    <w:lvl w:ilvl="8" w:tplc="0409001B" w:tentative="1">
      <w:start w:val="1"/>
      <w:numFmt w:val="lowerRoman"/>
      <w:lvlText w:val="%9."/>
      <w:lvlJc w:val="right"/>
      <w:pPr>
        <w:ind w:left="5480" w:hanging="180"/>
      </w:pPr>
    </w:lvl>
  </w:abstractNum>
  <w:abstractNum w:abstractNumId="25" w15:restartNumberingAfterBreak="0">
    <w:nsid w:val="0000001A"/>
    <w:multiLevelType w:val="multilevel"/>
    <w:tmpl w:val="3D3C7F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1B"/>
    <w:multiLevelType w:val="multilevel"/>
    <w:tmpl w:val="73365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000001C"/>
    <w:multiLevelType w:val="hybridMultilevel"/>
    <w:tmpl w:val="C84243C2"/>
    <w:lvl w:ilvl="0" w:tplc="E6C49D4A">
      <w:start w:val="1"/>
      <w:numFmt w:val="decimal"/>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0000001D"/>
    <w:multiLevelType w:val="multilevel"/>
    <w:tmpl w:val="9DF6758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0000001E"/>
    <w:multiLevelType w:val="multilevel"/>
    <w:tmpl w:val="623AAF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0000001F"/>
    <w:multiLevelType w:val="hybridMultilevel"/>
    <w:tmpl w:val="E8208FD0"/>
    <w:lvl w:ilvl="0" w:tplc="DE366D1A">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0000020"/>
    <w:multiLevelType w:val="hybridMultilevel"/>
    <w:tmpl w:val="D728B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0000021"/>
    <w:multiLevelType w:val="multilevel"/>
    <w:tmpl w:val="11D0B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0000022"/>
    <w:multiLevelType w:val="multilevel"/>
    <w:tmpl w:val="C570D2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00000023"/>
    <w:multiLevelType w:val="multilevel"/>
    <w:tmpl w:val="0922BFB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00000024"/>
    <w:multiLevelType w:val="multilevel"/>
    <w:tmpl w:val="59EA014C"/>
    <w:lvl w:ilvl="0">
      <w:start w:val="1"/>
      <w:numFmt w:val="decimal"/>
      <w:lvlText w:val="%1."/>
      <w:lvlJc w:val="left"/>
      <w:pPr>
        <w:tabs>
          <w:tab w:val="left" w:pos="630"/>
        </w:tabs>
        <w:ind w:left="630" w:hanging="360"/>
      </w:pPr>
      <w:rPr>
        <w:color w:val="auto"/>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6" w15:restartNumberingAfterBreak="0">
    <w:nsid w:val="00000025"/>
    <w:multiLevelType w:val="multilevel"/>
    <w:tmpl w:val="7AE4F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00000026"/>
    <w:multiLevelType w:val="hybridMultilevel"/>
    <w:tmpl w:val="07689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0000027"/>
    <w:multiLevelType w:val="multilevel"/>
    <w:tmpl w:val="67B2A25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00000028"/>
    <w:multiLevelType w:val="multilevel"/>
    <w:tmpl w:val="549EA2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00000029"/>
    <w:multiLevelType w:val="multilevel"/>
    <w:tmpl w:val="283E414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1" w15:restartNumberingAfterBreak="0">
    <w:nsid w:val="0000002A"/>
    <w:multiLevelType w:val="multilevel"/>
    <w:tmpl w:val="FA6E156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2" w15:restartNumberingAfterBreak="0">
    <w:nsid w:val="0000002B"/>
    <w:multiLevelType w:val="multilevel"/>
    <w:tmpl w:val="521C509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0000002C"/>
    <w:multiLevelType w:val="multilevel"/>
    <w:tmpl w:val="B3C64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0000002D"/>
    <w:multiLevelType w:val="multilevel"/>
    <w:tmpl w:val="D11004E8"/>
    <w:lvl w:ilvl="0">
      <w:start w:val="1"/>
      <w:numFmt w:val="bullet"/>
      <w:lvlText w:val=""/>
      <w:lvlJc w:val="left"/>
      <w:pPr>
        <w:tabs>
          <w:tab w:val="left"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0000002E"/>
    <w:multiLevelType w:val="hybridMultilevel"/>
    <w:tmpl w:val="98244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F5F6BA6"/>
    <w:multiLevelType w:val="multilevel"/>
    <w:tmpl w:val="000C0F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4842192"/>
    <w:multiLevelType w:val="multilevel"/>
    <w:tmpl w:val="954AB4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7A94669"/>
    <w:multiLevelType w:val="multilevel"/>
    <w:tmpl w:val="DD7801B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9" w15:restartNumberingAfterBreak="0">
    <w:nsid w:val="71E93B96"/>
    <w:multiLevelType w:val="hybridMultilevel"/>
    <w:tmpl w:val="37145F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79E944BC"/>
    <w:multiLevelType w:val="multilevel"/>
    <w:tmpl w:val="5858BF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88124371">
    <w:abstractNumId w:val="13"/>
  </w:num>
  <w:num w:numId="2" w16cid:durableId="308242406">
    <w:abstractNumId w:val="34"/>
  </w:num>
  <w:num w:numId="3" w16cid:durableId="784081650">
    <w:abstractNumId w:val="3"/>
  </w:num>
  <w:num w:numId="4" w16cid:durableId="848569900">
    <w:abstractNumId w:val="33"/>
  </w:num>
  <w:num w:numId="5" w16cid:durableId="1009255653">
    <w:abstractNumId w:val="42"/>
  </w:num>
  <w:num w:numId="6" w16cid:durableId="243683624">
    <w:abstractNumId w:val="21"/>
  </w:num>
  <w:num w:numId="7" w16cid:durableId="826089309">
    <w:abstractNumId w:val="41"/>
  </w:num>
  <w:num w:numId="8" w16cid:durableId="1385639955">
    <w:abstractNumId w:val="17"/>
  </w:num>
  <w:num w:numId="9" w16cid:durableId="887910374">
    <w:abstractNumId w:val="2"/>
  </w:num>
  <w:num w:numId="10" w16cid:durableId="31393328">
    <w:abstractNumId w:val="46"/>
  </w:num>
  <w:num w:numId="11" w16cid:durableId="337931767">
    <w:abstractNumId w:val="23"/>
  </w:num>
  <w:num w:numId="12" w16cid:durableId="23865766">
    <w:abstractNumId w:val="0"/>
  </w:num>
  <w:num w:numId="13" w16cid:durableId="802774214">
    <w:abstractNumId w:val="40"/>
  </w:num>
  <w:num w:numId="14" w16cid:durableId="1404058620">
    <w:abstractNumId w:val="24"/>
  </w:num>
  <w:num w:numId="15" w16cid:durableId="245848439">
    <w:abstractNumId w:val="44"/>
  </w:num>
  <w:num w:numId="16" w16cid:durableId="1283344609">
    <w:abstractNumId w:val="25"/>
  </w:num>
  <w:num w:numId="17" w16cid:durableId="607278302">
    <w:abstractNumId w:val="8"/>
  </w:num>
  <w:num w:numId="18" w16cid:durableId="1583223291">
    <w:abstractNumId w:val="38"/>
  </w:num>
  <w:num w:numId="19" w16cid:durableId="1482379735">
    <w:abstractNumId w:val="31"/>
  </w:num>
  <w:num w:numId="20" w16cid:durableId="54083742">
    <w:abstractNumId w:val="30"/>
  </w:num>
  <w:num w:numId="21" w16cid:durableId="178663651">
    <w:abstractNumId w:val="16"/>
  </w:num>
  <w:num w:numId="22" w16cid:durableId="1026296785">
    <w:abstractNumId w:val="28"/>
  </w:num>
  <w:num w:numId="23" w16cid:durableId="1245258984">
    <w:abstractNumId w:val="4"/>
  </w:num>
  <w:num w:numId="24" w16cid:durableId="953055978">
    <w:abstractNumId w:val="39"/>
  </w:num>
  <w:num w:numId="25" w16cid:durableId="982078048">
    <w:abstractNumId w:val="6"/>
  </w:num>
  <w:num w:numId="26" w16cid:durableId="465968914">
    <w:abstractNumId w:val="37"/>
  </w:num>
  <w:num w:numId="27" w16cid:durableId="433673371">
    <w:abstractNumId w:val="45"/>
  </w:num>
  <w:num w:numId="28" w16cid:durableId="952248030">
    <w:abstractNumId w:val="1"/>
  </w:num>
  <w:num w:numId="29" w16cid:durableId="1384253827">
    <w:abstractNumId w:val="12"/>
  </w:num>
  <w:num w:numId="30" w16cid:durableId="571349482">
    <w:abstractNumId w:val="10"/>
  </w:num>
  <w:num w:numId="31" w16cid:durableId="429157052">
    <w:abstractNumId w:val="32"/>
  </w:num>
  <w:num w:numId="32" w16cid:durableId="1103457458">
    <w:abstractNumId w:val="26"/>
  </w:num>
  <w:num w:numId="33" w16cid:durableId="446657210">
    <w:abstractNumId w:val="29"/>
  </w:num>
  <w:num w:numId="34" w16cid:durableId="552426070">
    <w:abstractNumId w:val="9"/>
  </w:num>
  <w:num w:numId="35" w16cid:durableId="1644046153">
    <w:abstractNumId w:val="5"/>
  </w:num>
  <w:num w:numId="36" w16cid:durableId="1558011495">
    <w:abstractNumId w:val="22"/>
  </w:num>
  <w:num w:numId="37" w16cid:durableId="1666013260">
    <w:abstractNumId w:val="36"/>
  </w:num>
  <w:num w:numId="38" w16cid:durableId="488863323">
    <w:abstractNumId w:val="11"/>
  </w:num>
  <w:num w:numId="39" w16cid:durableId="1612318825">
    <w:abstractNumId w:val="43"/>
  </w:num>
  <w:num w:numId="40" w16cid:durableId="872419466">
    <w:abstractNumId w:val="18"/>
  </w:num>
  <w:num w:numId="41" w16cid:durableId="1024600285">
    <w:abstractNumId w:val="27"/>
  </w:num>
  <w:num w:numId="42" w16cid:durableId="1436903671">
    <w:abstractNumId w:val="7"/>
  </w:num>
  <w:num w:numId="43" w16cid:durableId="16585545">
    <w:abstractNumId w:val="15"/>
  </w:num>
  <w:num w:numId="44" w16cid:durableId="1817185220">
    <w:abstractNumId w:val="19"/>
  </w:num>
  <w:num w:numId="45" w16cid:durableId="1025670691">
    <w:abstractNumId w:val="14"/>
  </w:num>
  <w:num w:numId="46" w16cid:durableId="2029477014">
    <w:abstractNumId w:val="35"/>
  </w:num>
  <w:num w:numId="47" w16cid:durableId="1394698639">
    <w:abstractNumId w:val="20"/>
  </w:num>
  <w:num w:numId="48" w16cid:durableId="559294742">
    <w:abstractNumId w:val="49"/>
  </w:num>
  <w:num w:numId="49" w16cid:durableId="881670510">
    <w:abstractNumId w:val="47"/>
  </w:num>
  <w:num w:numId="50" w16cid:durableId="214389117">
    <w:abstractNumId w:val="48"/>
  </w:num>
  <w:num w:numId="51" w16cid:durableId="842207097">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8D"/>
    <w:rsid w:val="0001664D"/>
    <w:rsid w:val="000241B2"/>
    <w:rsid w:val="00067368"/>
    <w:rsid w:val="000A63EF"/>
    <w:rsid w:val="00147028"/>
    <w:rsid w:val="00165C47"/>
    <w:rsid w:val="001F007C"/>
    <w:rsid w:val="002354F7"/>
    <w:rsid w:val="00246661"/>
    <w:rsid w:val="00444EA0"/>
    <w:rsid w:val="006C69FD"/>
    <w:rsid w:val="0077141E"/>
    <w:rsid w:val="00804EC7"/>
    <w:rsid w:val="00817BC3"/>
    <w:rsid w:val="009535A6"/>
    <w:rsid w:val="00955B39"/>
    <w:rsid w:val="00977E87"/>
    <w:rsid w:val="00A557C3"/>
    <w:rsid w:val="00B0007C"/>
    <w:rsid w:val="00BE488D"/>
    <w:rsid w:val="00BE7DD0"/>
    <w:rsid w:val="00CF12DB"/>
    <w:rsid w:val="00D31BF8"/>
    <w:rsid w:val="00DA4A20"/>
    <w:rsid w:val="00DF57A8"/>
    <w:rsid w:val="00E97F5B"/>
    <w:rsid w:val="00FB3AA2"/>
    <w:rsid w:val="00FF257A"/>
    <w:rsid w:val="00FF575E"/>
    <w:rsid w:val="00FF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8248C"/>
  <w15:docId w15:val="{9E0ECAFA-892F-440A-A556-D7F743C1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NoSpacing">
    <w:name w:val="No Spacing"/>
    <w:uiPriority w:val="1"/>
    <w:qFormat/>
    <w:pPr>
      <w:spacing w:after="0" w:line="240" w:lineRule="auto"/>
    </w:pPr>
    <w:rPr>
      <w:rFonts w:cs="Calibri"/>
      <w:kern w:val="0"/>
      <w:sz w:val="22"/>
      <w:szCs w:val="22"/>
      <w14:ligatures w14:val="non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TableParagraph">
    <w:name w:val="Table Paragraph"/>
    <w:basedOn w:val="Normal"/>
    <w:uiPriority w:val="1"/>
    <w:qFormat/>
    <w:pPr>
      <w:widowControl w:val="0"/>
      <w:autoSpaceDE w:val="0"/>
      <w:autoSpaceDN w:val="0"/>
      <w:spacing w:after="0" w:line="240" w:lineRule="auto"/>
      <w:ind w:left="13"/>
      <w:jc w:val="center"/>
    </w:pPr>
    <w:rPr>
      <w:rFonts w:ascii="Times New Roman" w:eastAsia="Times New Roman" w:hAnsi="Times New Roman" w:cs="Times New Roman"/>
      <w:kern w:val="0"/>
      <w:sz w:val="22"/>
      <w:szCs w:val="22"/>
      <w14:ligatures w14:val="none"/>
    </w:rPr>
  </w:style>
  <w:style w:type="paragraph" w:customStyle="1" w:styleId="Normal1">
    <w:name w:val="Normal1"/>
    <w:pPr>
      <w:spacing w:after="200" w:line="276" w:lineRule="auto"/>
    </w:pPr>
    <w:rPr>
      <w:rFonts w:ascii="Cambria" w:eastAsia="Cambria" w:hAnsi="Cambria" w:cs="Cambria"/>
      <w:kern w:val="0"/>
      <w:sz w:val="22"/>
      <w:szCs w:val="22"/>
      <w14:ligatures w14:val="none"/>
    </w:rPr>
  </w:style>
  <w:style w:type="paragraph" w:customStyle="1" w:styleId="my-2">
    <w:name w:val="my-2"/>
    <w:basedOn w:val="Normal"/>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paragraph" w:styleId="Caption">
    <w:name w:val="caption"/>
    <w:basedOn w:val="Normal"/>
    <w:next w:val="Normal"/>
    <w:uiPriority w:val="35"/>
    <w:qFormat/>
    <w:pPr>
      <w:spacing w:after="200" w:line="240" w:lineRule="auto"/>
    </w:pPr>
    <w:rPr>
      <w:i/>
      <w:iCs/>
      <w:color w:val="44546A"/>
      <w:kern w:val="0"/>
      <w:sz w:val="18"/>
      <w:szCs w:val="18"/>
      <w:lang w:val="en-IN"/>
      <w14:ligatures w14:val="none"/>
    </w:rPr>
  </w:style>
  <w:style w:type="paragraph" w:customStyle="1" w:styleId="Default">
    <w:name w:val="Default"/>
    <w:pPr>
      <w:autoSpaceDE w:val="0"/>
      <w:autoSpaceDN w:val="0"/>
      <w:adjustRightInd w:val="0"/>
      <w:spacing w:after="0" w:line="240" w:lineRule="auto"/>
    </w:pPr>
    <w:rPr>
      <w:rFonts w:ascii="Helvetica 45 Light" w:hAnsi="Helvetica 45 Light" w:cs="Helvetica 45 Light"/>
      <w:color w:val="000000"/>
      <w:kern w:val="0"/>
      <w14:ligatures w14:val="none"/>
    </w:rPr>
  </w:style>
  <w:style w:type="character" w:customStyle="1" w:styleId="A2">
    <w:name w:val="A2"/>
    <w:uiPriority w:val="99"/>
    <w:rPr>
      <w:b/>
      <w:bCs/>
      <w:color w:val="000000"/>
      <w:sz w:val="12"/>
      <w:szCs w:val="12"/>
    </w:rPr>
  </w:style>
  <w:style w:type="paragraph" w:styleId="BodyText">
    <w:name w:val="Body Text"/>
    <w:basedOn w:val="Normal"/>
    <w:link w:val="BodyTextChar"/>
    <w:uiPriority w:val="1"/>
    <w:qFormat/>
    <w:pPr>
      <w:widowControl w:val="0"/>
      <w:autoSpaceDE w:val="0"/>
      <w:autoSpaceDN w:val="0"/>
      <w:spacing w:after="0" w:line="240" w:lineRule="auto"/>
    </w:pPr>
    <w:rPr>
      <w:rFonts w:ascii="Cambria" w:eastAsia="Cambria" w:hAnsi="Cambria" w:cs="Cambria"/>
      <w:kern w:val="0"/>
      <w:sz w:val="22"/>
      <w:szCs w:val="22"/>
      <w14:ligatures w14:val="none"/>
    </w:rPr>
  </w:style>
  <w:style w:type="character" w:customStyle="1" w:styleId="BodyTextChar">
    <w:name w:val="Body Text Char"/>
    <w:basedOn w:val="DefaultParagraphFont"/>
    <w:link w:val="BodyText"/>
    <w:uiPriority w:val="1"/>
    <w:rPr>
      <w:rFonts w:ascii="Cambria" w:eastAsia="Cambria" w:hAnsi="Cambria" w:cs="Cambria"/>
      <w:kern w:val="0"/>
      <w:sz w:val="22"/>
      <w:szCs w:val="22"/>
      <w14:ligatures w14:val="none"/>
    </w:rPr>
  </w:style>
  <w:style w:type="paragraph" w:customStyle="1" w:styleId="Body">
    <w:name w:val="Body"/>
    <w:qFormat/>
    <w:pPr>
      <w:bidi/>
      <w:spacing w:after="0" w:line="240" w:lineRule="auto"/>
    </w:pPr>
    <w:rPr>
      <w:rFonts w:ascii="Helvetica" w:eastAsia="Arial Unicode MS" w:hAnsi="Helvetica" w:cs="Times New Roman"/>
      <w:color w:val="000000"/>
      <w:kern w:val="0"/>
      <w:sz w:val="22"/>
      <w:szCs w:val="22"/>
      <w:vertAlign w:val="subscript"/>
      <w:lang w:val="en-GB" w:eastAsia="en-GB"/>
      <w14:ligatures w14:val="none"/>
    </w:rPr>
  </w:style>
  <w:style w:type="paragraph" w:styleId="Bibliography">
    <w:name w:val="Bibliography"/>
    <w:basedOn w:val="Normal"/>
    <w:next w:val="Normal"/>
    <w:uiPriority w:val="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jmpr.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AFEB4-EEA1-4742-8CAC-CA6B1585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2920</Words>
  <Characters>16645</Characters>
  <Application>Microsoft Office Word</Application>
  <DocSecurity>0</DocSecurity>
  <Lines>138</Lines>
  <Paragraphs>39</Paragraphs>
  <ScaleCrop>false</ScaleCrop>
  <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shivanand rajbhar</cp:lastModifiedBy>
  <cp:revision>20</cp:revision>
  <cp:lastPrinted>2026-03-23T12:22:00Z</cp:lastPrinted>
  <dcterms:created xsi:type="dcterms:W3CDTF">2026-03-25T02:58:00Z</dcterms:created>
  <dcterms:modified xsi:type="dcterms:W3CDTF">2026-03-25T03:10:00Z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2e3541bbab2646ac800100ed9d489f28</vt:lpwstr>
  </property>
</Properties>
</file>