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AECBA" w14:textId="77777777" w:rsidR="00CC6907" w:rsidRDefault="00CC6907">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9746" w:type="dxa"/>
        <w:tblBorders>
          <w:top w:val="nil"/>
          <w:left w:val="nil"/>
          <w:bottom w:val="nil"/>
          <w:right w:val="nil"/>
          <w:insideH w:val="nil"/>
          <w:insideV w:val="nil"/>
        </w:tblBorders>
        <w:tblLayout w:type="fixed"/>
        <w:tblLook w:val="0400" w:firstRow="0" w:lastRow="0" w:firstColumn="0" w:lastColumn="0" w:noHBand="0" w:noVBand="1"/>
      </w:tblPr>
      <w:tblGrid>
        <w:gridCol w:w="2025"/>
        <w:gridCol w:w="953"/>
        <w:gridCol w:w="6768"/>
      </w:tblGrid>
      <w:tr w:rsidR="00CC6907" w14:paraId="5E93653B" w14:textId="77777777">
        <w:tc>
          <w:tcPr>
            <w:tcW w:w="2025" w:type="dxa"/>
            <w:tcBorders>
              <w:bottom w:val="dotted" w:sz="4" w:space="0" w:color="000000"/>
            </w:tcBorders>
            <w:shd w:val="clear" w:color="auto" w:fill="FFFFFF"/>
          </w:tcPr>
          <w:p w14:paraId="18E85172" w14:textId="77777777" w:rsidR="00CC6907" w:rsidRDefault="00000000">
            <w:bookmarkStart w:id="0" w:name="_heading=h.502vzpcwqeuj" w:colFirst="0" w:colLast="0"/>
            <w:bookmarkEnd w:id="0"/>
            <w:r>
              <w:rPr>
                <w:noProof/>
                <w:sz w:val="22"/>
                <w:szCs w:val="22"/>
              </w:rPr>
              <w:drawing>
                <wp:inline distT="0" distB="0" distL="0" distR="0" wp14:anchorId="76B5BA1B" wp14:editId="34B1A056">
                  <wp:extent cx="637380" cy="901743"/>
                  <wp:effectExtent l="0" t="0" r="0" b="0"/>
                  <wp:docPr id="9212570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37380" cy="901743"/>
                          </a:xfrm>
                          <a:prstGeom prst="rect">
                            <a:avLst/>
                          </a:prstGeom>
                          <a:ln/>
                        </pic:spPr>
                      </pic:pic>
                    </a:graphicData>
                  </a:graphic>
                </wp:inline>
              </w:drawing>
            </w:r>
          </w:p>
        </w:tc>
        <w:tc>
          <w:tcPr>
            <w:tcW w:w="7721" w:type="dxa"/>
            <w:gridSpan w:val="2"/>
            <w:tcBorders>
              <w:bottom w:val="dotted" w:sz="4" w:space="0" w:color="000000"/>
            </w:tcBorders>
            <w:shd w:val="clear" w:color="auto" w:fill="FFFFFF"/>
          </w:tcPr>
          <w:p w14:paraId="23894CE5" w14:textId="77777777" w:rsidR="00CC6907" w:rsidRDefault="00CC6907">
            <w:pPr>
              <w:pBdr>
                <w:top w:val="nil"/>
                <w:left w:val="nil"/>
                <w:bottom w:val="nil"/>
                <w:right w:val="nil"/>
                <w:between w:val="nil"/>
              </w:pBdr>
              <w:rPr>
                <w:rFonts w:ascii="Twentieth Century" w:eastAsia="Twentieth Century" w:hAnsi="Twentieth Century" w:cs="Twentieth Century"/>
                <w:b/>
                <w:bCs/>
                <w:color w:val="000000"/>
                <w:sz w:val="16"/>
                <w:szCs w:val="16"/>
              </w:rPr>
            </w:pPr>
          </w:p>
          <w:p w14:paraId="6557B5CC" w14:textId="77777777" w:rsidR="00CC6907" w:rsidRDefault="00000000">
            <w:pPr>
              <w:pBdr>
                <w:top w:val="nil"/>
                <w:left w:val="nil"/>
                <w:bottom w:val="nil"/>
                <w:right w:val="nil"/>
                <w:between w:val="nil"/>
              </w:pBdr>
              <w:jc w:val="right"/>
              <w:rPr>
                <w:rFonts w:ascii="Twentieth Century" w:eastAsia="Twentieth Century" w:hAnsi="Twentieth Century" w:cs="Twentieth Century"/>
                <w:b/>
                <w:bCs/>
                <w:color w:val="1F3864"/>
              </w:rPr>
            </w:pPr>
            <w:r>
              <w:rPr>
                <w:rFonts w:ascii="Twentieth Century" w:eastAsia="Twentieth Century" w:hAnsi="Twentieth Century" w:cs="Twentieth Century"/>
                <w:b/>
                <w:bCs/>
                <w:color w:val="1F3864"/>
              </w:rPr>
              <w:t>International Journal of Medical</w:t>
            </w:r>
          </w:p>
          <w:p w14:paraId="70E62D52" w14:textId="77777777" w:rsidR="00CC6907" w:rsidRDefault="00000000">
            <w:pPr>
              <w:pBdr>
                <w:top w:val="nil"/>
                <w:left w:val="nil"/>
                <w:bottom w:val="nil"/>
                <w:right w:val="nil"/>
                <w:between w:val="nil"/>
              </w:pBdr>
              <w:spacing w:line="360" w:lineRule="auto"/>
              <w:jc w:val="right"/>
              <w:rPr>
                <w:rFonts w:ascii="Twentieth Century" w:eastAsia="Twentieth Century" w:hAnsi="Twentieth Century" w:cs="Twentieth Century"/>
                <w:b/>
                <w:bCs/>
                <w:color w:val="1F3864"/>
              </w:rPr>
            </w:pPr>
            <w:r>
              <w:rPr>
                <w:rFonts w:ascii="Twentieth Century" w:eastAsia="Twentieth Century" w:hAnsi="Twentieth Century" w:cs="Twentieth Century"/>
                <w:b/>
                <w:bCs/>
                <w:color w:val="1F3864"/>
              </w:rPr>
              <w:t>and Pharmaceutical Research</w:t>
            </w:r>
          </w:p>
          <w:p w14:paraId="4965974D" w14:textId="77777777" w:rsidR="00CC6907" w:rsidRDefault="00000000">
            <w:pPr>
              <w:pBdr>
                <w:top w:val="nil"/>
                <w:left w:val="nil"/>
                <w:bottom w:val="nil"/>
                <w:right w:val="nil"/>
                <w:between w:val="nil"/>
              </w:pBdr>
              <w:jc w:val="right"/>
              <w:rPr>
                <w:rFonts w:ascii="Twentieth Century" w:eastAsia="Twentieth Century" w:hAnsi="Twentieth Century" w:cs="Twentieth Century"/>
                <w:color w:val="000000"/>
                <w:sz w:val="20"/>
                <w:szCs w:val="20"/>
              </w:rPr>
            </w:pPr>
            <w:r>
              <w:rPr>
                <w:rFonts w:ascii="Twentieth Century" w:eastAsia="Twentieth Century" w:hAnsi="Twentieth Century" w:cs="Twentieth Century"/>
                <w:color w:val="000000"/>
                <w:sz w:val="20"/>
                <w:szCs w:val="20"/>
              </w:rPr>
              <w:t>Online ISSN-2958-3683 | Print ISSN-2958-3675</w:t>
            </w:r>
          </w:p>
          <w:p w14:paraId="596A5032" w14:textId="77777777" w:rsidR="00CC6907" w:rsidRDefault="00000000">
            <w:pPr>
              <w:pBdr>
                <w:top w:val="nil"/>
                <w:left w:val="nil"/>
                <w:bottom w:val="nil"/>
                <w:right w:val="nil"/>
                <w:between w:val="nil"/>
              </w:pBdr>
              <w:jc w:val="right"/>
              <w:rPr>
                <w:color w:val="000000"/>
              </w:rPr>
            </w:pPr>
            <w:r>
              <w:rPr>
                <w:rFonts w:ascii="Twentieth Century" w:eastAsia="Twentieth Century" w:hAnsi="Twentieth Century" w:cs="Twentieth Century"/>
                <w:color w:val="000000"/>
                <w:sz w:val="20"/>
                <w:szCs w:val="20"/>
              </w:rPr>
              <w:t>Frequency: Bi-Monthly</w:t>
            </w:r>
            <w:r>
              <w:rPr>
                <w:rFonts w:ascii="Twentieth Century" w:eastAsia="Twentieth Century" w:hAnsi="Twentieth Century" w:cs="Twentieth Century"/>
                <w:color w:val="000000"/>
                <w:sz w:val="20"/>
                <w:szCs w:val="20"/>
              </w:rPr>
              <w:br/>
              <w:t xml:space="preserve">Available online on: </w:t>
            </w:r>
            <w:hyperlink r:id="rId9">
              <w:r>
                <w:rPr>
                  <w:rFonts w:ascii="Twentieth Century" w:eastAsia="Twentieth Century" w:hAnsi="Twentieth Century" w:cs="Twentieth Century"/>
                  <w:color w:val="0000FF"/>
                  <w:sz w:val="20"/>
                  <w:szCs w:val="20"/>
                  <w:u w:val="single"/>
                </w:rPr>
                <w:t>https://ijmpr.in/</w:t>
              </w:r>
            </w:hyperlink>
            <w:r>
              <w:rPr>
                <w:rFonts w:ascii="Twentieth Century" w:eastAsia="Twentieth Century" w:hAnsi="Twentieth Century" w:cs="Twentieth Century"/>
                <w:color w:val="000000"/>
                <w:sz w:val="20"/>
                <w:szCs w:val="20"/>
              </w:rPr>
              <w:t xml:space="preserve"> </w:t>
            </w:r>
          </w:p>
        </w:tc>
      </w:tr>
      <w:tr w:rsidR="00CC6907" w14:paraId="18EBA4B5" w14:textId="77777777">
        <w:trPr>
          <w:trHeight w:val="333"/>
        </w:trPr>
        <w:tc>
          <w:tcPr>
            <w:tcW w:w="9746" w:type="dxa"/>
            <w:gridSpan w:val="3"/>
            <w:tcBorders>
              <w:top w:val="dotted" w:sz="4" w:space="0" w:color="000000"/>
            </w:tcBorders>
          </w:tcPr>
          <w:p w14:paraId="579F64D2" w14:textId="77777777" w:rsidR="00CC6907" w:rsidRDefault="00000000">
            <w:pPr>
              <w:rPr>
                <w:rFonts w:ascii="Twentieth Century" w:eastAsia="Twentieth Century" w:hAnsi="Twentieth Century" w:cs="Twentieth Century"/>
              </w:rPr>
            </w:pPr>
            <w:r>
              <w:rPr>
                <w:rFonts w:ascii="Twentieth Century" w:eastAsia="Twentieth Century" w:hAnsi="Twentieth Century" w:cs="Twentieth Century"/>
                <w:highlight w:val="lightGray"/>
              </w:rPr>
              <w:t>Original Article</w:t>
            </w:r>
          </w:p>
        </w:tc>
      </w:tr>
      <w:tr w:rsidR="00CC6907" w14:paraId="20FC7018" w14:textId="77777777">
        <w:tc>
          <w:tcPr>
            <w:tcW w:w="9746" w:type="dxa"/>
            <w:gridSpan w:val="3"/>
          </w:tcPr>
          <w:p w14:paraId="231A741F" w14:textId="77777777" w:rsidR="00CC6907" w:rsidRDefault="00CC6907">
            <w:pPr>
              <w:tabs>
                <w:tab w:val="left" w:pos="3885"/>
              </w:tabs>
              <w:jc w:val="center"/>
              <w:rPr>
                <w:rFonts w:ascii="Century Gothic" w:eastAsia="Century Gothic" w:hAnsi="Century Gothic" w:cs="Century Gothic"/>
                <w:color w:val="323E4F"/>
                <w:sz w:val="20"/>
                <w:szCs w:val="20"/>
              </w:rPr>
            </w:pPr>
          </w:p>
          <w:p w14:paraId="48E57DDC" w14:textId="6341C60F" w:rsidR="00CC6907" w:rsidRDefault="00000000">
            <w:pPr>
              <w:jc w:val="center"/>
              <w:rPr>
                <w:rFonts w:ascii="Century Gothic" w:eastAsia="Century Gothic" w:hAnsi="Century Gothic" w:cs="Century Gothic"/>
                <w:b/>
                <w:bCs/>
                <w:color w:val="323E4F"/>
                <w:sz w:val="28"/>
                <w:szCs w:val="28"/>
              </w:rPr>
            </w:pPr>
            <w:r>
              <w:rPr>
                <w:rFonts w:ascii="Century Gothic" w:eastAsia="Century Gothic" w:hAnsi="Century Gothic" w:cs="Century Gothic"/>
                <w:b/>
                <w:bCs/>
                <w:color w:val="323E4F"/>
                <w:sz w:val="28"/>
                <w:szCs w:val="28"/>
              </w:rPr>
              <w:t xml:space="preserve">Awareness on Antimicrobial drug resistance and Antimicrobial Stewardship </w:t>
            </w:r>
            <w:proofErr w:type="spellStart"/>
            <w:r>
              <w:rPr>
                <w:rFonts w:ascii="Century Gothic" w:eastAsia="Century Gothic" w:hAnsi="Century Gothic" w:cs="Century Gothic"/>
                <w:b/>
                <w:bCs/>
                <w:color w:val="323E4F"/>
                <w:sz w:val="28"/>
                <w:szCs w:val="28"/>
              </w:rPr>
              <w:t>Programme</w:t>
            </w:r>
            <w:proofErr w:type="spellEnd"/>
            <w:r>
              <w:rPr>
                <w:rFonts w:ascii="Century Gothic" w:eastAsia="Century Gothic" w:hAnsi="Century Gothic" w:cs="Century Gothic"/>
                <w:b/>
                <w:bCs/>
                <w:color w:val="323E4F"/>
                <w:sz w:val="28"/>
                <w:szCs w:val="28"/>
              </w:rPr>
              <w:t xml:space="preserve"> among Undergraduate and </w:t>
            </w:r>
            <w:r w:rsidR="003F1092">
              <w:rPr>
                <w:rFonts w:ascii="Century Gothic" w:eastAsia="Century Gothic" w:hAnsi="Century Gothic" w:cs="Century Gothic"/>
                <w:b/>
                <w:bCs/>
                <w:color w:val="323E4F"/>
                <w:sz w:val="28"/>
                <w:szCs w:val="28"/>
              </w:rPr>
              <w:t>P</w:t>
            </w:r>
            <w:r>
              <w:rPr>
                <w:rFonts w:ascii="Century Gothic" w:eastAsia="Century Gothic" w:hAnsi="Century Gothic" w:cs="Century Gothic"/>
                <w:b/>
                <w:bCs/>
                <w:color w:val="323E4F"/>
                <w:sz w:val="28"/>
                <w:szCs w:val="28"/>
              </w:rPr>
              <w:t xml:space="preserve">ostgraduate </w:t>
            </w:r>
            <w:r w:rsidR="003F1092">
              <w:rPr>
                <w:rFonts w:ascii="Century Gothic" w:eastAsia="Century Gothic" w:hAnsi="Century Gothic" w:cs="Century Gothic"/>
                <w:b/>
                <w:bCs/>
                <w:color w:val="323E4F"/>
                <w:sz w:val="28"/>
                <w:szCs w:val="28"/>
              </w:rPr>
              <w:t>S</w:t>
            </w:r>
            <w:r>
              <w:rPr>
                <w:rFonts w:ascii="Century Gothic" w:eastAsia="Century Gothic" w:hAnsi="Century Gothic" w:cs="Century Gothic"/>
                <w:b/>
                <w:bCs/>
                <w:color w:val="323E4F"/>
                <w:sz w:val="28"/>
                <w:szCs w:val="28"/>
              </w:rPr>
              <w:t xml:space="preserve">tudents in a </w:t>
            </w:r>
            <w:r w:rsidR="003F1092">
              <w:rPr>
                <w:rFonts w:ascii="Century Gothic" w:eastAsia="Century Gothic" w:hAnsi="Century Gothic" w:cs="Century Gothic"/>
                <w:b/>
                <w:bCs/>
                <w:color w:val="323E4F"/>
                <w:sz w:val="28"/>
                <w:szCs w:val="28"/>
              </w:rPr>
              <w:t>T</w:t>
            </w:r>
            <w:r>
              <w:rPr>
                <w:rFonts w:ascii="Century Gothic" w:eastAsia="Century Gothic" w:hAnsi="Century Gothic" w:cs="Century Gothic"/>
                <w:b/>
                <w:bCs/>
                <w:color w:val="323E4F"/>
                <w:sz w:val="28"/>
                <w:szCs w:val="28"/>
              </w:rPr>
              <w:t xml:space="preserve">eaching </w:t>
            </w:r>
            <w:r w:rsidR="003F1092">
              <w:rPr>
                <w:rFonts w:ascii="Century Gothic" w:eastAsia="Century Gothic" w:hAnsi="Century Gothic" w:cs="Century Gothic"/>
                <w:b/>
                <w:bCs/>
                <w:color w:val="323E4F"/>
                <w:sz w:val="28"/>
                <w:szCs w:val="28"/>
              </w:rPr>
              <w:t>H</w:t>
            </w:r>
            <w:r>
              <w:rPr>
                <w:rFonts w:ascii="Century Gothic" w:eastAsia="Century Gothic" w:hAnsi="Century Gothic" w:cs="Century Gothic"/>
                <w:b/>
                <w:bCs/>
                <w:color w:val="323E4F"/>
                <w:sz w:val="28"/>
                <w:szCs w:val="28"/>
              </w:rPr>
              <w:t xml:space="preserve">ospital </w:t>
            </w:r>
          </w:p>
          <w:p w14:paraId="271A4E65" w14:textId="77777777" w:rsidR="00CC6907" w:rsidRDefault="00CC6907">
            <w:pPr>
              <w:jc w:val="center"/>
              <w:rPr>
                <w:sz w:val="20"/>
                <w:szCs w:val="20"/>
              </w:rPr>
            </w:pPr>
          </w:p>
          <w:p w14:paraId="373E3AA1" w14:textId="77777777" w:rsidR="00CC6907" w:rsidRDefault="00000000">
            <w:pPr>
              <w:pBdr>
                <w:top w:val="nil"/>
                <w:left w:val="nil"/>
                <w:bottom w:val="nil"/>
                <w:right w:val="nil"/>
                <w:between w:val="nil"/>
              </w:pBdr>
              <w:spacing w:line="192" w:lineRule="auto"/>
              <w:jc w:val="center"/>
              <w:rPr>
                <w:b/>
                <w:bCs/>
                <w:color w:val="000000"/>
                <w:sz w:val="20"/>
                <w:szCs w:val="20"/>
              </w:rPr>
            </w:pPr>
            <w:r>
              <w:rPr>
                <w:b/>
                <w:bCs/>
                <w:color w:val="000000"/>
                <w:sz w:val="20"/>
                <w:szCs w:val="20"/>
              </w:rPr>
              <w:t xml:space="preserve">Dr. </w:t>
            </w:r>
            <w:proofErr w:type="spellStart"/>
            <w:r>
              <w:rPr>
                <w:b/>
                <w:bCs/>
                <w:color w:val="000000"/>
                <w:sz w:val="20"/>
                <w:szCs w:val="20"/>
              </w:rPr>
              <w:t>Gajula</w:t>
            </w:r>
            <w:proofErr w:type="spellEnd"/>
            <w:r>
              <w:rPr>
                <w:b/>
                <w:bCs/>
                <w:color w:val="000000"/>
                <w:sz w:val="20"/>
                <w:szCs w:val="20"/>
              </w:rPr>
              <w:t xml:space="preserve"> Sai Karthik</w:t>
            </w:r>
            <w:r>
              <w:rPr>
                <w:b/>
                <w:bCs/>
                <w:color w:val="000000"/>
                <w:sz w:val="20"/>
                <w:szCs w:val="20"/>
                <w:vertAlign w:val="superscript"/>
              </w:rPr>
              <w:t>1</w:t>
            </w:r>
            <w:r>
              <w:rPr>
                <w:b/>
                <w:bCs/>
                <w:color w:val="000000"/>
                <w:sz w:val="20"/>
                <w:szCs w:val="20"/>
              </w:rPr>
              <w:t xml:space="preserve">, Dr. B V </w:t>
            </w:r>
            <w:proofErr w:type="spellStart"/>
            <w:r>
              <w:rPr>
                <w:b/>
                <w:bCs/>
                <w:color w:val="000000"/>
                <w:sz w:val="20"/>
                <w:szCs w:val="20"/>
              </w:rPr>
              <w:t>V</w:t>
            </w:r>
            <w:proofErr w:type="spellEnd"/>
            <w:r>
              <w:rPr>
                <w:b/>
                <w:bCs/>
                <w:color w:val="000000"/>
                <w:sz w:val="20"/>
                <w:szCs w:val="20"/>
              </w:rPr>
              <w:t xml:space="preserve"> </w:t>
            </w:r>
            <w:proofErr w:type="spellStart"/>
            <w:r>
              <w:rPr>
                <w:b/>
                <w:bCs/>
                <w:color w:val="000000"/>
                <w:sz w:val="20"/>
                <w:szCs w:val="20"/>
              </w:rPr>
              <w:t>V</w:t>
            </w:r>
            <w:proofErr w:type="spellEnd"/>
            <w:r>
              <w:rPr>
                <w:b/>
                <w:bCs/>
                <w:color w:val="000000"/>
                <w:sz w:val="20"/>
                <w:szCs w:val="20"/>
              </w:rPr>
              <w:t xml:space="preserve"> Tejaswani</w:t>
            </w:r>
            <w:r>
              <w:rPr>
                <w:b/>
                <w:bCs/>
                <w:color w:val="000000"/>
                <w:sz w:val="20"/>
                <w:szCs w:val="20"/>
                <w:vertAlign w:val="superscript"/>
              </w:rPr>
              <w:t>2</w:t>
            </w:r>
            <w:r>
              <w:rPr>
                <w:b/>
                <w:bCs/>
                <w:color w:val="000000"/>
                <w:sz w:val="20"/>
                <w:szCs w:val="20"/>
              </w:rPr>
              <w:t>, Dr. Sateesh K</w:t>
            </w:r>
            <w:r>
              <w:rPr>
                <w:b/>
                <w:bCs/>
                <w:color w:val="000000"/>
                <w:sz w:val="20"/>
                <w:szCs w:val="20"/>
                <w:vertAlign w:val="superscript"/>
              </w:rPr>
              <w:t>3</w:t>
            </w:r>
          </w:p>
          <w:p w14:paraId="695C0655" w14:textId="77777777" w:rsidR="00CC6907" w:rsidRDefault="00CC6907">
            <w:pPr>
              <w:pBdr>
                <w:top w:val="nil"/>
                <w:left w:val="nil"/>
                <w:bottom w:val="nil"/>
                <w:right w:val="nil"/>
                <w:between w:val="nil"/>
              </w:pBdr>
              <w:spacing w:line="192" w:lineRule="auto"/>
              <w:jc w:val="center"/>
              <w:rPr>
                <w:b/>
                <w:bCs/>
                <w:color w:val="000000"/>
                <w:sz w:val="20"/>
                <w:szCs w:val="20"/>
              </w:rPr>
            </w:pPr>
          </w:p>
          <w:p w14:paraId="0A6BCE8A" w14:textId="77777777" w:rsidR="00CC6907" w:rsidRDefault="00000000">
            <w:pPr>
              <w:jc w:val="center"/>
              <w:rPr>
                <w:i/>
                <w:iCs/>
                <w:sz w:val="18"/>
                <w:szCs w:val="18"/>
              </w:rPr>
            </w:pPr>
            <w:r>
              <w:rPr>
                <w:i/>
                <w:iCs/>
                <w:sz w:val="18"/>
                <w:szCs w:val="18"/>
                <w:vertAlign w:val="superscript"/>
              </w:rPr>
              <w:t>1</w:t>
            </w:r>
            <w:r>
              <w:rPr>
                <w:i/>
                <w:iCs/>
                <w:sz w:val="18"/>
                <w:szCs w:val="18"/>
              </w:rPr>
              <w:t xml:space="preserve">Internee, </w:t>
            </w:r>
            <w:proofErr w:type="spellStart"/>
            <w:r>
              <w:rPr>
                <w:i/>
                <w:iCs/>
                <w:sz w:val="18"/>
                <w:szCs w:val="18"/>
              </w:rPr>
              <w:t>Kamineni</w:t>
            </w:r>
            <w:proofErr w:type="spellEnd"/>
            <w:r>
              <w:rPr>
                <w:i/>
                <w:iCs/>
                <w:sz w:val="18"/>
                <w:szCs w:val="18"/>
              </w:rPr>
              <w:t xml:space="preserve"> Institute of Medical Sciences, </w:t>
            </w:r>
            <w:proofErr w:type="spellStart"/>
            <w:r>
              <w:rPr>
                <w:i/>
                <w:iCs/>
                <w:sz w:val="18"/>
                <w:szCs w:val="18"/>
              </w:rPr>
              <w:t>Narketpally</w:t>
            </w:r>
            <w:proofErr w:type="spellEnd"/>
            <w:r>
              <w:rPr>
                <w:i/>
                <w:iCs/>
                <w:sz w:val="18"/>
                <w:szCs w:val="18"/>
              </w:rPr>
              <w:t>, Nalgonda, India</w:t>
            </w:r>
          </w:p>
          <w:p w14:paraId="64DF2792" w14:textId="77777777" w:rsidR="00CC6907" w:rsidRDefault="00000000">
            <w:pPr>
              <w:jc w:val="center"/>
              <w:rPr>
                <w:i/>
                <w:iCs/>
                <w:sz w:val="18"/>
                <w:szCs w:val="18"/>
              </w:rPr>
            </w:pPr>
            <w:r>
              <w:rPr>
                <w:i/>
                <w:iCs/>
                <w:sz w:val="18"/>
                <w:szCs w:val="18"/>
                <w:vertAlign w:val="superscript"/>
              </w:rPr>
              <w:t>2</w:t>
            </w:r>
            <w:r>
              <w:rPr>
                <w:i/>
                <w:iCs/>
                <w:sz w:val="18"/>
                <w:szCs w:val="18"/>
              </w:rPr>
              <w:t xml:space="preserve">Associate Professor, Department of Microbiology, </w:t>
            </w:r>
            <w:proofErr w:type="spellStart"/>
            <w:r>
              <w:rPr>
                <w:i/>
                <w:iCs/>
                <w:sz w:val="18"/>
                <w:szCs w:val="18"/>
              </w:rPr>
              <w:t>Kamineni</w:t>
            </w:r>
            <w:proofErr w:type="spellEnd"/>
            <w:r>
              <w:rPr>
                <w:i/>
                <w:iCs/>
                <w:sz w:val="18"/>
                <w:szCs w:val="18"/>
              </w:rPr>
              <w:t xml:space="preserve"> Institute of Medical Sciences, </w:t>
            </w:r>
            <w:proofErr w:type="spellStart"/>
            <w:r>
              <w:rPr>
                <w:i/>
                <w:iCs/>
                <w:sz w:val="18"/>
                <w:szCs w:val="18"/>
              </w:rPr>
              <w:t>Narketpally</w:t>
            </w:r>
            <w:proofErr w:type="spellEnd"/>
            <w:r>
              <w:rPr>
                <w:i/>
                <w:iCs/>
                <w:sz w:val="18"/>
                <w:szCs w:val="18"/>
              </w:rPr>
              <w:t>, Nalgonda, India</w:t>
            </w:r>
          </w:p>
          <w:p w14:paraId="5FFE0905" w14:textId="77777777" w:rsidR="00CC6907" w:rsidRDefault="00000000">
            <w:pPr>
              <w:jc w:val="center"/>
              <w:rPr>
                <w:i/>
                <w:iCs/>
                <w:sz w:val="18"/>
                <w:szCs w:val="18"/>
              </w:rPr>
            </w:pPr>
            <w:r>
              <w:rPr>
                <w:i/>
                <w:iCs/>
                <w:sz w:val="18"/>
                <w:szCs w:val="18"/>
                <w:vertAlign w:val="superscript"/>
              </w:rPr>
              <w:t>3</w:t>
            </w:r>
            <w:r>
              <w:rPr>
                <w:i/>
                <w:iCs/>
                <w:sz w:val="18"/>
                <w:szCs w:val="18"/>
              </w:rPr>
              <w:t xml:space="preserve">Professor and Head, Department of Microbiology, </w:t>
            </w:r>
            <w:proofErr w:type="spellStart"/>
            <w:r>
              <w:rPr>
                <w:i/>
                <w:iCs/>
                <w:sz w:val="18"/>
                <w:szCs w:val="18"/>
              </w:rPr>
              <w:t>Kamineni</w:t>
            </w:r>
            <w:proofErr w:type="spellEnd"/>
            <w:r>
              <w:rPr>
                <w:i/>
                <w:iCs/>
                <w:sz w:val="18"/>
                <w:szCs w:val="18"/>
              </w:rPr>
              <w:t xml:space="preserve"> Institute of Medical Sciences, </w:t>
            </w:r>
            <w:proofErr w:type="spellStart"/>
            <w:r>
              <w:rPr>
                <w:i/>
                <w:iCs/>
                <w:sz w:val="18"/>
                <w:szCs w:val="18"/>
              </w:rPr>
              <w:t>Narketpally</w:t>
            </w:r>
            <w:proofErr w:type="spellEnd"/>
            <w:r>
              <w:rPr>
                <w:i/>
                <w:iCs/>
                <w:sz w:val="18"/>
                <w:szCs w:val="18"/>
              </w:rPr>
              <w:t>, Nalgonda, India</w:t>
            </w:r>
          </w:p>
          <w:p w14:paraId="2FACDDC2" w14:textId="77777777" w:rsidR="00CC6907" w:rsidRDefault="00000000">
            <w:pPr>
              <w:jc w:val="center"/>
              <w:rPr>
                <w:i/>
                <w:iCs/>
                <w:sz w:val="18"/>
                <w:szCs w:val="18"/>
              </w:rPr>
            </w:pPr>
            <w:r>
              <w:rPr>
                <w:i/>
                <w:iCs/>
                <w:sz w:val="18"/>
                <w:szCs w:val="18"/>
              </w:rPr>
              <w:t xml:space="preserve"> </w:t>
            </w:r>
          </w:p>
          <w:p w14:paraId="15C42642" w14:textId="77777777" w:rsidR="00CC6907" w:rsidRDefault="00CC6907">
            <w:pPr>
              <w:jc w:val="center"/>
              <w:rPr>
                <w:sz w:val="18"/>
                <w:szCs w:val="18"/>
              </w:rPr>
            </w:pPr>
          </w:p>
        </w:tc>
      </w:tr>
      <w:tr w:rsidR="00CC6907" w14:paraId="0D4E53A9" w14:textId="77777777">
        <w:tc>
          <w:tcPr>
            <w:tcW w:w="2978" w:type="dxa"/>
            <w:gridSpan w:val="2"/>
            <w:shd w:val="clear" w:color="auto" w:fill="F2F2F2"/>
          </w:tcPr>
          <w:p w14:paraId="0F651274" w14:textId="77777777" w:rsidR="00CC6907" w:rsidRDefault="00000000">
            <w:pPr>
              <w:ind w:left="-113"/>
              <w:jc w:val="center"/>
              <w:rPr>
                <w:b/>
                <w:bCs/>
              </w:rPr>
            </w:pPr>
            <w:r>
              <w:rPr>
                <w:noProof/>
              </w:rPr>
              <w:drawing>
                <wp:inline distT="0" distB="0" distL="0" distR="0" wp14:anchorId="1D60C6E8" wp14:editId="24BB6695">
                  <wp:extent cx="1824990" cy="250190"/>
                  <wp:effectExtent l="0" t="0" r="0" b="0"/>
                  <wp:docPr id="9212570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24990" cy="250190"/>
                          </a:xfrm>
                          <a:prstGeom prst="rect">
                            <a:avLst/>
                          </a:prstGeom>
                          <a:ln/>
                        </pic:spPr>
                      </pic:pic>
                    </a:graphicData>
                  </a:graphic>
                </wp:inline>
              </w:drawing>
            </w:r>
          </w:p>
        </w:tc>
        <w:tc>
          <w:tcPr>
            <w:tcW w:w="6768" w:type="dxa"/>
          </w:tcPr>
          <w:p w14:paraId="3381956D" w14:textId="77777777" w:rsidR="00CC6907" w:rsidRDefault="00000000">
            <w:pPr>
              <w:ind w:left="60"/>
            </w:pPr>
            <w:r>
              <w:rPr>
                <w:b/>
                <w:bCs/>
                <w:color w:val="E36C0A"/>
              </w:rPr>
              <w:t>A B S T R A C T</w:t>
            </w:r>
          </w:p>
        </w:tc>
      </w:tr>
      <w:tr w:rsidR="00CC6907" w14:paraId="0D0BEAFE" w14:textId="77777777">
        <w:tc>
          <w:tcPr>
            <w:tcW w:w="2978" w:type="dxa"/>
            <w:gridSpan w:val="2"/>
            <w:shd w:val="clear" w:color="auto" w:fill="F2F2F2"/>
          </w:tcPr>
          <w:p w14:paraId="10EC44CD" w14:textId="77777777" w:rsidR="00CC6907" w:rsidRDefault="00CC6907">
            <w:pPr>
              <w:pBdr>
                <w:top w:val="nil"/>
                <w:left w:val="nil"/>
                <w:bottom w:val="nil"/>
                <w:right w:val="nil"/>
                <w:between w:val="nil"/>
              </w:pBdr>
              <w:rPr>
                <w:color w:val="000000"/>
                <w:sz w:val="16"/>
                <w:szCs w:val="16"/>
              </w:rPr>
            </w:pPr>
          </w:p>
          <w:p w14:paraId="53182E1C" w14:textId="77777777" w:rsidR="00CC6907" w:rsidRDefault="00000000">
            <w:pPr>
              <w:spacing w:line="360" w:lineRule="auto"/>
              <w:rPr>
                <w:b/>
                <w:bCs/>
                <w:sz w:val="20"/>
                <w:szCs w:val="20"/>
                <w:u w:val="single"/>
              </w:rPr>
            </w:pPr>
            <w:r>
              <w:rPr>
                <w:b/>
                <w:bCs/>
                <w:sz w:val="20"/>
                <w:szCs w:val="20"/>
                <w:u w:val="single"/>
              </w:rPr>
              <w:t>Corresponding Author:</w:t>
            </w:r>
          </w:p>
          <w:p w14:paraId="61ADC681" w14:textId="77777777" w:rsidR="00CC6907" w:rsidRDefault="00000000">
            <w:pPr>
              <w:rPr>
                <w:b/>
                <w:bCs/>
                <w:sz w:val="20"/>
                <w:szCs w:val="20"/>
              </w:rPr>
            </w:pPr>
            <w:r>
              <w:rPr>
                <w:b/>
                <w:bCs/>
                <w:sz w:val="20"/>
                <w:szCs w:val="20"/>
              </w:rPr>
              <w:t xml:space="preserve">Dr. </w:t>
            </w:r>
            <w:proofErr w:type="spellStart"/>
            <w:r>
              <w:rPr>
                <w:b/>
                <w:bCs/>
                <w:sz w:val="20"/>
                <w:szCs w:val="20"/>
              </w:rPr>
              <w:t>Gajula</w:t>
            </w:r>
            <w:proofErr w:type="spellEnd"/>
            <w:r>
              <w:rPr>
                <w:b/>
                <w:bCs/>
                <w:sz w:val="20"/>
                <w:szCs w:val="20"/>
              </w:rPr>
              <w:t xml:space="preserve"> Sai Karthik</w:t>
            </w:r>
          </w:p>
          <w:p w14:paraId="62A53700" w14:textId="77777777" w:rsidR="00CC6907" w:rsidRDefault="00000000">
            <w:pPr>
              <w:rPr>
                <w:i/>
                <w:iCs/>
                <w:sz w:val="19"/>
                <w:szCs w:val="19"/>
              </w:rPr>
            </w:pPr>
            <w:r>
              <w:rPr>
                <w:sz w:val="19"/>
                <w:szCs w:val="19"/>
              </w:rPr>
              <w:t xml:space="preserve">Internee, </w:t>
            </w:r>
            <w:proofErr w:type="spellStart"/>
            <w:r>
              <w:rPr>
                <w:sz w:val="19"/>
                <w:szCs w:val="19"/>
              </w:rPr>
              <w:t>Kamineni</w:t>
            </w:r>
            <w:proofErr w:type="spellEnd"/>
            <w:r>
              <w:rPr>
                <w:sz w:val="19"/>
                <w:szCs w:val="19"/>
              </w:rPr>
              <w:t xml:space="preserve"> Institute of Medical Sciences, </w:t>
            </w:r>
            <w:proofErr w:type="spellStart"/>
            <w:r>
              <w:rPr>
                <w:sz w:val="19"/>
                <w:szCs w:val="19"/>
              </w:rPr>
              <w:t>Narketpally</w:t>
            </w:r>
            <w:proofErr w:type="spellEnd"/>
            <w:r>
              <w:rPr>
                <w:sz w:val="19"/>
                <w:szCs w:val="19"/>
              </w:rPr>
              <w:t>, Nalgonda, India</w:t>
            </w:r>
          </w:p>
          <w:p w14:paraId="773BE9AB" w14:textId="77777777" w:rsidR="00CC6907" w:rsidRDefault="00CC6907">
            <w:pPr>
              <w:rPr>
                <w:i/>
                <w:iCs/>
                <w:sz w:val="19"/>
                <w:szCs w:val="19"/>
              </w:rPr>
            </w:pPr>
          </w:p>
          <w:p w14:paraId="508029D3" w14:textId="77777777" w:rsidR="00CC6907" w:rsidRDefault="00000000">
            <w:pPr>
              <w:widowControl w:val="0"/>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Received: 01-01-2026</w:t>
            </w:r>
          </w:p>
          <w:p w14:paraId="5FD16249" w14:textId="77777777" w:rsidR="00CC6907" w:rsidRDefault="00000000">
            <w:pPr>
              <w:widowControl w:val="0"/>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Accepted: 03-01-2026</w:t>
            </w:r>
          </w:p>
          <w:p w14:paraId="7EB4742A" w14:textId="77777777" w:rsidR="00CC6907" w:rsidRDefault="00000000">
            <w:pPr>
              <w:widowControl w:val="0"/>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Available online: 23-02-2026</w:t>
            </w:r>
          </w:p>
          <w:p w14:paraId="6BD973CE" w14:textId="77777777" w:rsidR="00CC6907" w:rsidRDefault="00CC6907">
            <w:pPr>
              <w:rPr>
                <w:sz w:val="20"/>
                <w:szCs w:val="20"/>
              </w:rPr>
            </w:pPr>
          </w:p>
          <w:p w14:paraId="103C8C1E" w14:textId="77777777" w:rsidR="00CC6907" w:rsidRDefault="00CC6907">
            <w:pPr>
              <w:rPr>
                <w:i/>
                <w:iCs/>
                <w:sz w:val="16"/>
                <w:szCs w:val="16"/>
              </w:rPr>
            </w:pPr>
          </w:p>
        </w:tc>
        <w:tc>
          <w:tcPr>
            <w:tcW w:w="6768" w:type="dxa"/>
          </w:tcPr>
          <w:p w14:paraId="0C0F24E2" w14:textId="77777777" w:rsidR="00AD7686" w:rsidRDefault="00000000" w:rsidP="00AD7686">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Background:</w:t>
            </w:r>
            <w:r>
              <w:rPr>
                <w:rFonts w:ascii="Times New Roman" w:eastAsia="Times New Roman" w:hAnsi="Times New Roman" w:cs="Times New Roman"/>
                <w:sz w:val="20"/>
                <w:szCs w:val="20"/>
              </w:rPr>
              <w:t xml:space="preserve"> Antimicrobial Resistance (AMR) occurs when bacteria, viruses, fungi and parasites change over time and no longer respond to medicines making infections harder to treat and increasing the risk of disease spread, severe illness and </w:t>
            </w:r>
            <w:proofErr w:type="spellStart"/>
            <w:proofErr w:type="gramStart"/>
            <w:r>
              <w:rPr>
                <w:rFonts w:ascii="Times New Roman" w:eastAsia="Times New Roman" w:hAnsi="Times New Roman" w:cs="Times New Roman"/>
                <w:sz w:val="20"/>
                <w:szCs w:val="20"/>
              </w:rPr>
              <w:t>death.As</w:t>
            </w:r>
            <w:proofErr w:type="spellEnd"/>
            <w:proofErr w:type="gramEnd"/>
            <w:r>
              <w:rPr>
                <w:rFonts w:ascii="Times New Roman" w:eastAsia="Times New Roman" w:hAnsi="Times New Roman" w:cs="Times New Roman"/>
                <w:sz w:val="20"/>
                <w:szCs w:val="20"/>
              </w:rPr>
              <w:t xml:space="preserve"> a result of drug resistance, antibiotics and other antimicrobial medicines become ineffective and infections become increasingly difficult or impossible to treat. In India, where antibiotic misuse is widespread, future prescribers must possess strong knowledge of AMR and antimicrobial stewardship </w:t>
            </w:r>
            <w:proofErr w:type="spellStart"/>
            <w:r>
              <w:rPr>
                <w:rFonts w:ascii="Times New Roman" w:eastAsia="Times New Roman" w:hAnsi="Times New Roman" w:cs="Times New Roman"/>
                <w:sz w:val="20"/>
                <w:szCs w:val="20"/>
              </w:rPr>
              <w:t>programmes</w:t>
            </w:r>
            <w:proofErr w:type="spellEnd"/>
            <w:r>
              <w:rPr>
                <w:rFonts w:ascii="Times New Roman" w:eastAsia="Times New Roman" w:hAnsi="Times New Roman" w:cs="Times New Roman"/>
                <w:sz w:val="20"/>
                <w:szCs w:val="20"/>
              </w:rPr>
              <w:t xml:space="preserve"> (ASP) to promote rational antimicrobial use.</w:t>
            </w:r>
          </w:p>
          <w:p w14:paraId="64560E6D" w14:textId="26D67339" w:rsidR="00CC6907" w:rsidRDefault="00000000" w:rsidP="00AD7686">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Objective:</w:t>
            </w:r>
            <w:r>
              <w:rPr>
                <w:rFonts w:ascii="Times New Roman" w:eastAsia="Times New Roman" w:hAnsi="Times New Roman" w:cs="Times New Roman"/>
                <w:sz w:val="20"/>
                <w:szCs w:val="20"/>
              </w:rPr>
              <w:t xml:space="preserve"> To evaluate awareness and knowledge of AMR and ASP among undergraduate and postgraduate medical students at a teaching hospital in Telangana, India.</w:t>
            </w:r>
          </w:p>
          <w:p w14:paraId="54744D87" w14:textId="77777777" w:rsidR="00CC6907" w:rsidRDefault="00000000" w:rsidP="00AD7686">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Methods:</w:t>
            </w:r>
            <w:r>
              <w:rPr>
                <w:rFonts w:ascii="Times New Roman" w:eastAsia="Times New Roman" w:hAnsi="Times New Roman" w:cs="Times New Roman"/>
                <w:sz w:val="20"/>
                <w:szCs w:val="20"/>
              </w:rPr>
              <w:t xml:space="preserve"> A prospective cross-sectional online survey was conducted using a 16-item questionnaire adapted from the WHO 2015 AMR Multi-Country Public Awareness Survey, with additional ASP-specific questions. The study included 662 voluntary participants (602 undergraduates across all MBBS years and interns, 60 postgraduates) from a tertiary care teaching hospital in Telangana, India. Knowledge was scored out of 16 (1 point per correct answer; partial credit for multi-correct items only if all options selected). Data were analyzed using descriptive statistics, one-way ANOVA for year-wise differences, and chi-square tests.</w:t>
            </w:r>
          </w:p>
          <w:p w14:paraId="0CCF1D65" w14:textId="77777777" w:rsidR="00CC6907" w:rsidRDefault="00000000" w:rsidP="00AD7686">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Results:</w:t>
            </w:r>
            <w:r>
              <w:rPr>
                <w:rFonts w:ascii="Times New Roman" w:eastAsia="Times New Roman" w:hAnsi="Times New Roman" w:cs="Times New Roman"/>
                <w:sz w:val="20"/>
                <w:szCs w:val="20"/>
              </w:rPr>
              <w:t xml:space="preserve"> The overall mean knowledge score was 9.01 ± 2.82 (56.3% correct). Scores increased progressively with academic year: first year (7.00 ± 2.5), second year (8.00 ± 2.6), third/fourth year and interns (10.00), and postgraduates (11.00 ± 2.3) (ANOVA F=48.15, p&lt;0.0001). Only 45% of participants had heard of ASP, with correct identification of its functions (~40%) and team composition (~30%) remaining low, though improving across years (p&lt;0.0001). Notably, 80% expressed willingness to educate family and friends about AMR.</w:t>
            </w:r>
          </w:p>
          <w:p w14:paraId="00A76E02" w14:textId="77777777" w:rsidR="00CC6907" w:rsidRDefault="00000000" w:rsidP="00AD7686">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Conclusion:</w:t>
            </w:r>
            <w:r>
              <w:rPr>
                <w:rFonts w:ascii="Times New Roman" w:eastAsia="Times New Roman" w:hAnsi="Times New Roman" w:cs="Times New Roman"/>
                <w:sz w:val="20"/>
                <w:szCs w:val="20"/>
              </w:rPr>
              <w:t xml:space="preserve"> Medical students demonstrated moderate AMR knowledge that improved with clinical exposure, but awareness of antimicrobial stewardship remained limited, particularly among early-year undergraduates. These findings underscore the need for early, structured integration of ASP training into the medical curriculum to equip future physicians to combat AMR effectively in high-burden settings like India.</w:t>
            </w:r>
          </w:p>
          <w:p w14:paraId="3233ECB0" w14:textId="77777777" w:rsidR="00CC6907" w:rsidRDefault="00CC6907" w:rsidP="00AD7686">
            <w:pPr>
              <w:jc w:val="both"/>
              <w:rPr>
                <w:rFonts w:ascii="Times New Roman" w:eastAsia="Times New Roman" w:hAnsi="Times New Roman" w:cs="Times New Roman"/>
                <w:sz w:val="20"/>
                <w:szCs w:val="20"/>
              </w:rPr>
            </w:pPr>
          </w:p>
        </w:tc>
      </w:tr>
      <w:tr w:rsidR="00CC6907" w14:paraId="1ABCE182" w14:textId="77777777">
        <w:tc>
          <w:tcPr>
            <w:tcW w:w="2978" w:type="dxa"/>
            <w:gridSpan w:val="2"/>
            <w:shd w:val="clear" w:color="auto" w:fill="F2F2F2"/>
          </w:tcPr>
          <w:p w14:paraId="1D42C317" w14:textId="77777777" w:rsidR="00CC6907" w:rsidRDefault="00000000">
            <w:pPr>
              <w:rPr>
                <w:i/>
                <w:iCs/>
                <w:sz w:val="16"/>
                <w:szCs w:val="16"/>
              </w:rPr>
            </w:pPr>
            <w:r>
              <w:rPr>
                <w:b/>
                <w:bCs/>
                <w:i/>
                <w:iCs/>
                <w:sz w:val="16"/>
                <w:szCs w:val="16"/>
              </w:rPr>
              <w:lastRenderedPageBreak/>
              <w:t xml:space="preserve">Copyright © </w:t>
            </w:r>
            <w:r>
              <w:rPr>
                <w:i/>
                <w:iCs/>
                <w:sz w:val="16"/>
                <w:szCs w:val="16"/>
              </w:rPr>
              <w:t>International Journal of Medical and Pharmaceutical Research</w:t>
            </w:r>
          </w:p>
        </w:tc>
        <w:tc>
          <w:tcPr>
            <w:tcW w:w="6768" w:type="dxa"/>
          </w:tcPr>
          <w:p w14:paraId="25431D04" w14:textId="77777777" w:rsidR="00CC6907" w:rsidRDefault="00000000">
            <w:pPr>
              <w:rPr>
                <w:i/>
                <w:iCs/>
                <w:sz w:val="19"/>
                <w:szCs w:val="19"/>
              </w:rPr>
            </w:pPr>
            <w:r>
              <w:rPr>
                <w:b/>
                <w:bCs/>
                <w:i/>
                <w:iCs/>
                <w:sz w:val="20"/>
                <w:szCs w:val="20"/>
              </w:rPr>
              <w:t>Keywords</w:t>
            </w:r>
            <w:r>
              <w:rPr>
                <w:i/>
                <w:iCs/>
                <w:sz w:val="20"/>
                <w:szCs w:val="20"/>
              </w:rPr>
              <w:t>:</w:t>
            </w:r>
            <w:r>
              <w:rPr>
                <w:sz w:val="20"/>
                <w:szCs w:val="20"/>
              </w:rPr>
              <w:t xml:space="preserve"> </w:t>
            </w:r>
            <w:r>
              <w:rPr>
                <w:i/>
                <w:iCs/>
                <w:sz w:val="20"/>
                <w:szCs w:val="20"/>
              </w:rPr>
              <w:t>Antimicrobial resistance, Drug-resistant pathogens, Multidrug-resistant bacteria, Antibiotic misuse, Global public health.</w:t>
            </w:r>
          </w:p>
        </w:tc>
      </w:tr>
    </w:tbl>
    <w:p w14:paraId="5B23F927" w14:textId="77777777" w:rsidR="00CC6907" w:rsidRDefault="00CC6907">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rPr>
      </w:pPr>
    </w:p>
    <w:p w14:paraId="0E1A22DA"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INTRODUCTION</w:t>
      </w:r>
    </w:p>
    <w:p w14:paraId="1BB7C08B"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Antimicrobial Resistance (AMR) occurs when bacteria, viruses, fungi and parasites change over time and no longer respond to medicines making infections harder to treat and increasing the risk of disease spread, severe illness and death. </w:t>
      </w:r>
    </w:p>
    <w:p w14:paraId="13C06442" w14:textId="77777777" w:rsidR="00AD7686" w:rsidRDefault="00AD7686">
      <w:pPr>
        <w:spacing w:after="0" w:line="240" w:lineRule="auto"/>
        <w:jc w:val="both"/>
        <w:rPr>
          <w:rFonts w:ascii="Times New Roman" w:eastAsia="Times New Roman" w:hAnsi="Times New Roman" w:cs="Times New Roman"/>
          <w:sz w:val="20"/>
          <w:szCs w:val="20"/>
        </w:rPr>
      </w:pPr>
    </w:p>
    <w:p w14:paraId="73624293"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 a result of drug resistance, antibiotics and other antimicrobial medicines become ineffective and infections become increasingly difficult or impossible to treat.[1]</w:t>
      </w:r>
    </w:p>
    <w:p w14:paraId="1BA0F671" w14:textId="77777777" w:rsidR="00CC6907" w:rsidRDefault="00CC6907">
      <w:pPr>
        <w:spacing w:after="0" w:line="240" w:lineRule="auto"/>
        <w:jc w:val="both"/>
        <w:rPr>
          <w:rFonts w:ascii="Times New Roman" w:eastAsia="Times New Roman" w:hAnsi="Times New Roman" w:cs="Times New Roman"/>
          <w:sz w:val="20"/>
          <w:szCs w:val="20"/>
        </w:rPr>
      </w:pPr>
    </w:p>
    <w:p w14:paraId="091B1C67"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emergence and spread of drug-resistant pathogens that have acquired new resistance mechanisms, leading to antimicrobial resistance, continues to threaten our ability to treat common infections. Especially alarming is the rapid global spread of multi- and pan-resistant bacteria (also known as “superbugs”) that cause infections that are not treatable with existing antimicrobial medicines such as antibiotics.[1]</w:t>
      </w:r>
    </w:p>
    <w:p w14:paraId="701D5C9A" w14:textId="77777777" w:rsidR="00CC6907" w:rsidRDefault="00CC6907">
      <w:pPr>
        <w:spacing w:after="0" w:line="240" w:lineRule="auto"/>
        <w:jc w:val="both"/>
        <w:rPr>
          <w:rFonts w:ascii="Times New Roman" w:eastAsia="Times New Roman" w:hAnsi="Times New Roman" w:cs="Times New Roman"/>
          <w:sz w:val="20"/>
          <w:szCs w:val="20"/>
        </w:rPr>
      </w:pPr>
    </w:p>
    <w:p w14:paraId="31768133"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AMR occurs naturally over time, usually through genetic changes. The main drivers of antimicrobial resistance include the misuse and overuse of antimicrobials; lack of access to clean water, sanitation and hygiene (WASH) for both humans and animals; poor infection and disease prevention and control in health-care facilities and </w:t>
      </w:r>
      <w:proofErr w:type="gramStart"/>
      <w:r>
        <w:rPr>
          <w:rFonts w:ascii="Times New Roman" w:eastAsia="Times New Roman" w:hAnsi="Times New Roman" w:cs="Times New Roman"/>
          <w:sz w:val="20"/>
          <w:szCs w:val="20"/>
        </w:rPr>
        <w:t>farms;  poor</w:t>
      </w:r>
      <w:proofErr w:type="gramEnd"/>
      <w:r>
        <w:rPr>
          <w:rFonts w:ascii="Times New Roman" w:eastAsia="Times New Roman" w:hAnsi="Times New Roman" w:cs="Times New Roman"/>
          <w:sz w:val="20"/>
          <w:szCs w:val="20"/>
        </w:rPr>
        <w:t xml:space="preserve"> access to quality, affordable medicines, vaccines and diagnostics; lack of </w:t>
      </w:r>
      <w:proofErr w:type="spellStart"/>
      <w:r>
        <w:rPr>
          <w:rFonts w:ascii="Times New Roman" w:eastAsia="Times New Roman" w:hAnsi="Times New Roman" w:cs="Times New Roman"/>
          <w:sz w:val="20"/>
          <w:szCs w:val="20"/>
        </w:rPr>
        <w:t>mawareness</w:t>
      </w:r>
      <w:proofErr w:type="spellEnd"/>
      <w:r>
        <w:rPr>
          <w:rFonts w:ascii="Times New Roman" w:eastAsia="Times New Roman" w:hAnsi="Times New Roman" w:cs="Times New Roman"/>
          <w:sz w:val="20"/>
          <w:szCs w:val="20"/>
        </w:rPr>
        <w:t xml:space="preserve"> and knowledge; and lack of enforcement of legislation.[1]</w:t>
      </w:r>
    </w:p>
    <w:p w14:paraId="2A4741BE" w14:textId="77777777" w:rsidR="00CC6907" w:rsidRDefault="00CC6907">
      <w:pPr>
        <w:spacing w:after="0" w:line="240" w:lineRule="auto"/>
        <w:jc w:val="both"/>
        <w:rPr>
          <w:rFonts w:ascii="Times New Roman" w:eastAsia="Times New Roman" w:hAnsi="Times New Roman" w:cs="Times New Roman"/>
          <w:sz w:val="20"/>
          <w:szCs w:val="20"/>
        </w:rPr>
      </w:pPr>
    </w:p>
    <w:p w14:paraId="0AB1E30E"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Antimicrobial resistance has the potential to affect people at any stage of life, as well as the healthcare, veterinary, and agriculture industries. This makes it one of the world’s most urgent public health problems.[2]</w:t>
      </w:r>
    </w:p>
    <w:p w14:paraId="65603912" w14:textId="77777777" w:rsidR="00CC6907" w:rsidRDefault="00CC6907">
      <w:pPr>
        <w:spacing w:after="0" w:line="240" w:lineRule="auto"/>
        <w:jc w:val="both"/>
        <w:rPr>
          <w:rFonts w:ascii="Times New Roman" w:eastAsia="Times New Roman" w:hAnsi="Times New Roman" w:cs="Times New Roman"/>
          <w:sz w:val="20"/>
          <w:szCs w:val="20"/>
        </w:rPr>
      </w:pPr>
    </w:p>
    <w:p w14:paraId="377A4F17" w14:textId="77777777" w:rsidR="00CC6907" w:rsidRDefault="00000000">
      <w:pPr>
        <w:tabs>
          <w:tab w:val="right" w:pos="9746"/>
        </w:tabs>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Antimicrobial stewardship program</w:t>
      </w:r>
      <w:r>
        <w:rPr>
          <w:rFonts w:ascii="Times New Roman" w:eastAsia="Times New Roman" w:hAnsi="Times New Roman" w:cs="Times New Roman"/>
          <w:b/>
          <w:bCs/>
          <w:sz w:val="20"/>
          <w:szCs w:val="20"/>
        </w:rPr>
        <w:tab/>
      </w:r>
    </w:p>
    <w:p w14:paraId="6A39003E"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Antimicrobial stewardship refers to coordinated interventions designed to improve and measure the appropriate use of antimicrobials by promoting the selection of the optimal antimicrobial drug regimen, dose, duration of therapy, and route of administration.[3]</w:t>
      </w:r>
    </w:p>
    <w:p w14:paraId="27CB3107" w14:textId="77777777" w:rsidR="00CC6907" w:rsidRDefault="00CC6907">
      <w:pPr>
        <w:spacing w:after="0" w:line="240" w:lineRule="auto"/>
        <w:jc w:val="both"/>
        <w:rPr>
          <w:rFonts w:ascii="Times New Roman" w:eastAsia="Times New Roman" w:hAnsi="Times New Roman" w:cs="Times New Roman"/>
          <w:b/>
          <w:bCs/>
          <w:sz w:val="20"/>
          <w:szCs w:val="20"/>
        </w:rPr>
      </w:pPr>
    </w:p>
    <w:p w14:paraId="39249F9A"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The aim of an AMS </w:t>
      </w:r>
      <w:proofErr w:type="spellStart"/>
      <w:r>
        <w:rPr>
          <w:rFonts w:ascii="Times New Roman" w:eastAsia="Times New Roman" w:hAnsi="Times New Roman" w:cs="Times New Roman"/>
          <w:b/>
          <w:bCs/>
          <w:sz w:val="20"/>
          <w:szCs w:val="20"/>
        </w:rPr>
        <w:t>programme</w:t>
      </w:r>
      <w:proofErr w:type="spellEnd"/>
      <w:r>
        <w:rPr>
          <w:rFonts w:ascii="Times New Roman" w:eastAsia="Times New Roman" w:hAnsi="Times New Roman" w:cs="Times New Roman"/>
          <w:b/>
          <w:bCs/>
          <w:sz w:val="20"/>
          <w:szCs w:val="20"/>
        </w:rPr>
        <w:t xml:space="preserve"> is:</w:t>
      </w:r>
    </w:p>
    <w:p w14:paraId="4D0BAA6A"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optimize the use of antibiotics; </w:t>
      </w:r>
    </w:p>
    <w:p w14:paraId="53958BAF"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promote </w:t>
      </w:r>
      <w:proofErr w:type="gramStart"/>
      <w:r>
        <w:rPr>
          <w:rFonts w:ascii="Times New Roman" w:eastAsia="Times New Roman" w:hAnsi="Times New Roman" w:cs="Times New Roman"/>
          <w:color w:val="000000"/>
          <w:sz w:val="20"/>
          <w:szCs w:val="20"/>
        </w:rPr>
        <w:t>behavior</w:t>
      </w:r>
      <w:proofErr w:type="gramEnd"/>
      <w:r>
        <w:rPr>
          <w:rFonts w:ascii="Times New Roman" w:eastAsia="Times New Roman" w:hAnsi="Times New Roman" w:cs="Times New Roman"/>
          <w:color w:val="000000"/>
          <w:sz w:val="20"/>
          <w:szCs w:val="20"/>
        </w:rPr>
        <w:t xml:space="preserve"> change in antibiotic prescribing and dispensing                  practices</w:t>
      </w:r>
    </w:p>
    <w:p w14:paraId="2B1C96FC"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 improve quality of care and patient outcomes;</w:t>
      </w:r>
    </w:p>
    <w:p w14:paraId="02D9164B"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 save on unnecessary health-care costs;</w:t>
      </w:r>
    </w:p>
    <w:p w14:paraId="5D38FF6E"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 reduce further emergence, selection and spread of AMR; to prolong the lifespan of</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existing antibiotics;</w:t>
      </w:r>
    </w:p>
    <w:p w14:paraId="6EAC040A"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to limit the adverse economic impact of AMR; </w:t>
      </w:r>
    </w:p>
    <w:p w14:paraId="5823E5BF" w14:textId="77777777" w:rsidR="00CC6907"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to build the best-practices capacity of healthcare professionals regarding the rational use of antibiotics.[4]</w:t>
      </w:r>
    </w:p>
    <w:p w14:paraId="7431C2CD" w14:textId="77777777" w:rsidR="00CC6907" w:rsidRDefault="00CC6907">
      <w:pPr>
        <w:pStyle w:val="Heading2"/>
        <w:spacing w:before="0" w:after="0" w:line="240" w:lineRule="auto"/>
        <w:jc w:val="both"/>
        <w:rPr>
          <w:rFonts w:ascii="Times New Roman" w:eastAsia="Times New Roman" w:hAnsi="Times New Roman" w:cs="Times New Roman"/>
          <w:b/>
          <w:bCs/>
          <w:color w:val="000000"/>
          <w:sz w:val="20"/>
          <w:szCs w:val="20"/>
        </w:rPr>
      </w:pPr>
      <w:bookmarkStart w:id="1" w:name="_heading=h.1fob9te" w:colFirst="0" w:colLast="0"/>
      <w:bookmarkEnd w:id="1"/>
    </w:p>
    <w:p w14:paraId="340B1A53" w14:textId="77777777" w:rsidR="00CC6907" w:rsidRDefault="00000000">
      <w:pPr>
        <w:pStyle w:val="Heading2"/>
        <w:spacing w:before="0"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Aim </w:t>
      </w:r>
    </w:p>
    <w:p w14:paraId="28FDB2B4"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assess awareness on antimicrobial drug resistance in Undergraduate and Postgraduate medical students in a teaching hospital.</w:t>
      </w:r>
    </w:p>
    <w:p w14:paraId="27BD60FC" w14:textId="77777777" w:rsidR="00CC6907" w:rsidRDefault="00CC6907">
      <w:pPr>
        <w:pStyle w:val="Heading2"/>
        <w:spacing w:before="0" w:after="0" w:line="240" w:lineRule="auto"/>
        <w:jc w:val="both"/>
        <w:rPr>
          <w:rFonts w:ascii="Times New Roman" w:eastAsia="Times New Roman" w:hAnsi="Times New Roman" w:cs="Times New Roman"/>
          <w:b/>
          <w:bCs/>
          <w:color w:val="000000"/>
          <w:sz w:val="20"/>
          <w:szCs w:val="20"/>
        </w:rPr>
      </w:pPr>
      <w:bookmarkStart w:id="2" w:name="_heading=h.3znysh7" w:colFirst="0" w:colLast="0"/>
      <w:bookmarkEnd w:id="2"/>
    </w:p>
    <w:p w14:paraId="273E62DD" w14:textId="77777777" w:rsidR="00CC6907" w:rsidRDefault="00000000">
      <w:pPr>
        <w:pStyle w:val="Heading2"/>
        <w:spacing w:before="0"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Objectives </w:t>
      </w:r>
    </w:p>
    <w:p w14:paraId="1F637E6C"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1.To assess the knowledge and attitudes among various year medical students regarding anti-microbial resistance.</w:t>
      </w:r>
    </w:p>
    <w:p w14:paraId="46F5A94F"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Knowledge and awareness about antimicrobial stewardship </w:t>
      </w:r>
      <w:proofErr w:type="spellStart"/>
      <w:r>
        <w:rPr>
          <w:rFonts w:ascii="Times New Roman" w:eastAsia="Times New Roman" w:hAnsi="Times New Roman" w:cs="Times New Roman"/>
          <w:sz w:val="20"/>
          <w:szCs w:val="20"/>
        </w:rPr>
        <w:t>programme</w:t>
      </w:r>
      <w:proofErr w:type="spellEnd"/>
      <w:r>
        <w:rPr>
          <w:rFonts w:ascii="Times New Roman" w:eastAsia="Times New Roman" w:hAnsi="Times New Roman" w:cs="Times New Roman"/>
          <w:sz w:val="20"/>
          <w:szCs w:val="20"/>
        </w:rPr>
        <w:t xml:space="preserve"> among undergraduate students.</w:t>
      </w:r>
    </w:p>
    <w:p w14:paraId="596D1EC1"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To determine how we can improve their practices and knowledge to reduce anti-microbial resistance.</w:t>
      </w:r>
    </w:p>
    <w:p w14:paraId="4A41B0E6" w14:textId="77777777" w:rsidR="00CC6907" w:rsidRDefault="00CC6907">
      <w:pPr>
        <w:spacing w:after="0" w:line="240" w:lineRule="auto"/>
        <w:jc w:val="both"/>
        <w:rPr>
          <w:rFonts w:ascii="Times New Roman" w:eastAsia="Times New Roman" w:hAnsi="Times New Roman" w:cs="Times New Roman"/>
          <w:sz w:val="20"/>
          <w:szCs w:val="20"/>
        </w:rPr>
      </w:pPr>
    </w:p>
    <w:p w14:paraId="552C38C7"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MATERIALS AND METHODS</w:t>
      </w:r>
    </w:p>
    <w:p w14:paraId="1C8B003D"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Study design</w:t>
      </w:r>
      <w:r>
        <w:rPr>
          <w:rFonts w:ascii="Times New Roman" w:eastAsia="Times New Roman" w:hAnsi="Times New Roman" w:cs="Times New Roman"/>
          <w:sz w:val="20"/>
          <w:szCs w:val="20"/>
        </w:rPr>
        <w:t>: Prospective cross-sectional survey.</w:t>
      </w:r>
    </w:p>
    <w:p w14:paraId="1B94E4C0" w14:textId="77777777" w:rsidR="00CC6907" w:rsidRDefault="00CC6907">
      <w:pPr>
        <w:spacing w:after="0" w:line="240" w:lineRule="auto"/>
        <w:jc w:val="both"/>
        <w:rPr>
          <w:rFonts w:ascii="Times New Roman" w:eastAsia="Times New Roman" w:hAnsi="Times New Roman" w:cs="Times New Roman"/>
          <w:sz w:val="20"/>
          <w:szCs w:val="20"/>
        </w:rPr>
      </w:pPr>
    </w:p>
    <w:p w14:paraId="3A186341"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Setting:</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Kamineni</w:t>
      </w:r>
      <w:proofErr w:type="spellEnd"/>
      <w:r>
        <w:rPr>
          <w:rFonts w:ascii="Times New Roman" w:eastAsia="Times New Roman" w:hAnsi="Times New Roman" w:cs="Times New Roman"/>
          <w:sz w:val="20"/>
          <w:szCs w:val="20"/>
        </w:rPr>
        <w:t xml:space="preserve"> Institute of Medical Sciences, </w:t>
      </w:r>
      <w:proofErr w:type="spellStart"/>
      <w:r>
        <w:rPr>
          <w:rFonts w:ascii="Times New Roman" w:eastAsia="Times New Roman" w:hAnsi="Times New Roman" w:cs="Times New Roman"/>
          <w:sz w:val="20"/>
          <w:szCs w:val="20"/>
        </w:rPr>
        <w:t>Narketpally</w:t>
      </w:r>
      <w:proofErr w:type="spellEnd"/>
      <w:r>
        <w:rPr>
          <w:rFonts w:ascii="Times New Roman" w:eastAsia="Times New Roman" w:hAnsi="Times New Roman" w:cs="Times New Roman"/>
          <w:sz w:val="20"/>
          <w:szCs w:val="20"/>
        </w:rPr>
        <w:t>, Telangana, India.</w:t>
      </w:r>
    </w:p>
    <w:p w14:paraId="54A495B8" w14:textId="77777777" w:rsidR="00CC6907" w:rsidRDefault="00CC6907">
      <w:pPr>
        <w:spacing w:after="0" w:line="240" w:lineRule="auto"/>
        <w:jc w:val="both"/>
        <w:rPr>
          <w:rFonts w:ascii="Times New Roman" w:eastAsia="Times New Roman" w:hAnsi="Times New Roman" w:cs="Times New Roman"/>
          <w:sz w:val="20"/>
          <w:szCs w:val="20"/>
        </w:rPr>
      </w:pPr>
    </w:p>
    <w:p w14:paraId="49109D4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Study period</w:t>
      </w:r>
      <w:r>
        <w:rPr>
          <w:rFonts w:ascii="Times New Roman" w:eastAsia="Times New Roman" w:hAnsi="Times New Roman" w:cs="Times New Roman"/>
          <w:sz w:val="20"/>
          <w:szCs w:val="20"/>
        </w:rPr>
        <w:t xml:space="preserve">: 3 months </w:t>
      </w:r>
    </w:p>
    <w:p w14:paraId="1D6E2959" w14:textId="77777777" w:rsidR="00CC6907" w:rsidRDefault="00CC6907">
      <w:pPr>
        <w:spacing w:after="0" w:line="240" w:lineRule="auto"/>
        <w:jc w:val="both"/>
        <w:rPr>
          <w:rFonts w:ascii="Times New Roman" w:eastAsia="Times New Roman" w:hAnsi="Times New Roman" w:cs="Times New Roman"/>
          <w:sz w:val="20"/>
          <w:szCs w:val="20"/>
        </w:rPr>
      </w:pPr>
    </w:p>
    <w:p w14:paraId="26350789"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Population and sampling: Undergraduate (all MBBS years and interns) and postgraduate medical students. Convenience sampling was used due to feasibility and online mode; all accessible students were invited via institutional channels for participation.</w:t>
      </w:r>
    </w:p>
    <w:p w14:paraId="5B6EE231" w14:textId="77777777" w:rsidR="00CC6907" w:rsidRDefault="00CC6907">
      <w:pPr>
        <w:spacing w:after="0" w:line="240" w:lineRule="auto"/>
        <w:jc w:val="both"/>
        <w:rPr>
          <w:rFonts w:ascii="Times New Roman" w:eastAsia="Times New Roman" w:hAnsi="Times New Roman" w:cs="Times New Roman"/>
          <w:sz w:val="20"/>
          <w:szCs w:val="20"/>
        </w:rPr>
      </w:pPr>
    </w:p>
    <w:p w14:paraId="47E86052"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Inclusion </w:t>
      </w:r>
      <w:proofErr w:type="gramStart"/>
      <w:r>
        <w:rPr>
          <w:rFonts w:ascii="Times New Roman" w:eastAsia="Times New Roman" w:hAnsi="Times New Roman" w:cs="Times New Roman"/>
          <w:b/>
          <w:bCs/>
          <w:sz w:val="20"/>
          <w:szCs w:val="20"/>
        </w:rPr>
        <w:t>criteria</w:t>
      </w:r>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Enrolled medical students willing to participate.</w:t>
      </w:r>
    </w:p>
    <w:p w14:paraId="38C4008F" w14:textId="77777777" w:rsidR="00CC6907" w:rsidRDefault="00CC6907">
      <w:pPr>
        <w:spacing w:after="0" w:line="240" w:lineRule="auto"/>
        <w:jc w:val="both"/>
        <w:rPr>
          <w:rFonts w:ascii="Times New Roman" w:eastAsia="Times New Roman" w:hAnsi="Times New Roman" w:cs="Times New Roman"/>
          <w:sz w:val="20"/>
          <w:szCs w:val="20"/>
        </w:rPr>
      </w:pPr>
    </w:p>
    <w:p w14:paraId="52562E76"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Exclusion </w:t>
      </w:r>
      <w:proofErr w:type="gramStart"/>
      <w:r>
        <w:rPr>
          <w:rFonts w:ascii="Times New Roman" w:eastAsia="Times New Roman" w:hAnsi="Times New Roman" w:cs="Times New Roman"/>
          <w:b/>
          <w:bCs/>
          <w:sz w:val="20"/>
          <w:szCs w:val="20"/>
        </w:rPr>
        <w:t>criteria :</w:t>
      </w:r>
      <w:proofErr w:type="gramEnd"/>
      <w:r>
        <w:rPr>
          <w:rFonts w:ascii="Times New Roman" w:eastAsia="Times New Roman" w:hAnsi="Times New Roman" w:cs="Times New Roman"/>
          <w:sz w:val="20"/>
          <w:szCs w:val="20"/>
        </w:rPr>
        <w:t xml:space="preserve"> Incomplete responses. Students who have not given consent.</w:t>
      </w:r>
    </w:p>
    <w:p w14:paraId="4F414DC4" w14:textId="77777777" w:rsidR="00CC6907" w:rsidRDefault="00CC6907">
      <w:pPr>
        <w:spacing w:after="0" w:line="240" w:lineRule="auto"/>
        <w:jc w:val="both"/>
        <w:rPr>
          <w:rFonts w:ascii="Times New Roman" w:eastAsia="Times New Roman" w:hAnsi="Times New Roman" w:cs="Times New Roman"/>
          <w:sz w:val="20"/>
          <w:szCs w:val="20"/>
        </w:rPr>
      </w:pPr>
    </w:p>
    <w:p w14:paraId="17513D6F"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Sample size:</w:t>
      </w:r>
      <w:r>
        <w:rPr>
          <w:rFonts w:ascii="Times New Roman" w:eastAsia="Times New Roman" w:hAnsi="Times New Roman" w:cs="Times New Roman"/>
          <w:sz w:val="20"/>
          <w:szCs w:val="20"/>
        </w:rPr>
        <w:t xml:space="preserve"> The minimum sample size was estimated using the single population proportion formula assuming p=0.5 (conservative), 95% confidence level, and 5% margin of error, yielding 291 for N=1200. To account for non-response (~10–20%), requirements for subgroup/year-wise analysis, and desire for higher precision (effective margin ~3–3.5%), a larger target was aimed for. A total of 662 voluntary responses were obtained, exceeding minimum requirements.</w:t>
      </w:r>
    </w:p>
    <w:p w14:paraId="22AE8E03" w14:textId="77777777" w:rsidR="00CC6907" w:rsidRDefault="00CC6907">
      <w:pPr>
        <w:spacing w:after="0" w:line="240" w:lineRule="auto"/>
        <w:jc w:val="both"/>
        <w:rPr>
          <w:rFonts w:ascii="Times New Roman" w:eastAsia="Times New Roman" w:hAnsi="Times New Roman" w:cs="Times New Roman"/>
          <w:sz w:val="20"/>
          <w:szCs w:val="20"/>
        </w:rPr>
      </w:pPr>
    </w:p>
    <w:p w14:paraId="1D8AD5E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Data collection</w:t>
      </w:r>
      <w:r>
        <w:rPr>
          <w:rFonts w:ascii="Times New Roman" w:eastAsia="Times New Roman" w:hAnsi="Times New Roman" w:cs="Times New Roman"/>
          <w:sz w:val="20"/>
          <w:szCs w:val="20"/>
        </w:rPr>
        <w:t>: Online Google Forms questionnaire with mandatory voluntary consent page. Responses were anonymous and confidential.</w:t>
      </w:r>
    </w:p>
    <w:p w14:paraId="723C6CA2" w14:textId="77777777" w:rsidR="00CC6907" w:rsidRDefault="00CC6907">
      <w:pPr>
        <w:spacing w:after="0" w:line="240" w:lineRule="auto"/>
        <w:jc w:val="both"/>
        <w:rPr>
          <w:rFonts w:ascii="Times New Roman" w:eastAsia="Times New Roman" w:hAnsi="Times New Roman" w:cs="Times New Roman"/>
          <w:sz w:val="20"/>
          <w:szCs w:val="20"/>
        </w:rPr>
      </w:pPr>
    </w:p>
    <w:p w14:paraId="132076C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Tool: </w:t>
      </w:r>
      <w:r>
        <w:rPr>
          <w:rFonts w:ascii="Times New Roman" w:eastAsia="Times New Roman" w:hAnsi="Times New Roman" w:cs="Times New Roman"/>
          <w:sz w:val="20"/>
          <w:szCs w:val="20"/>
        </w:rPr>
        <w:t>16-item questionnaire adapted and modified from the WHO 2015 Antimicrobial Resistance Multi-Country Public Awareness Survey, with added items on ASP. Knowledge scored as 1 point per correct answer (maximum 16); multiple-correct questions (Q14, Q15) awarded full point only if all correct options selected. [5]</w:t>
      </w:r>
    </w:p>
    <w:p w14:paraId="5F79170A" w14:textId="77777777" w:rsidR="00CC6907" w:rsidRDefault="00CC6907">
      <w:pPr>
        <w:spacing w:after="0" w:line="240" w:lineRule="auto"/>
        <w:jc w:val="both"/>
        <w:rPr>
          <w:rFonts w:ascii="Times New Roman" w:eastAsia="Times New Roman" w:hAnsi="Times New Roman" w:cs="Times New Roman"/>
          <w:sz w:val="20"/>
          <w:szCs w:val="20"/>
        </w:rPr>
      </w:pPr>
    </w:p>
    <w:p w14:paraId="4375D2AB"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Ethics: </w:t>
      </w:r>
      <w:r>
        <w:rPr>
          <w:rFonts w:ascii="Times New Roman" w:eastAsia="Times New Roman" w:hAnsi="Times New Roman" w:cs="Times New Roman"/>
          <w:sz w:val="20"/>
          <w:szCs w:val="20"/>
        </w:rPr>
        <w:t xml:space="preserve">Approved by the Institutional Ethics Committee of </w:t>
      </w:r>
      <w:proofErr w:type="spellStart"/>
      <w:r>
        <w:rPr>
          <w:rFonts w:ascii="Times New Roman" w:eastAsia="Times New Roman" w:hAnsi="Times New Roman" w:cs="Times New Roman"/>
          <w:sz w:val="20"/>
          <w:szCs w:val="20"/>
        </w:rPr>
        <w:t>Kamineni</w:t>
      </w:r>
      <w:proofErr w:type="spellEnd"/>
      <w:r>
        <w:rPr>
          <w:rFonts w:ascii="Times New Roman" w:eastAsia="Times New Roman" w:hAnsi="Times New Roman" w:cs="Times New Roman"/>
          <w:sz w:val="20"/>
          <w:szCs w:val="20"/>
        </w:rPr>
        <w:t xml:space="preserve"> Institute of Medical Sciences.</w:t>
      </w:r>
    </w:p>
    <w:p w14:paraId="1A1FC383" w14:textId="77777777" w:rsidR="00CC6907" w:rsidRDefault="00CC6907">
      <w:pPr>
        <w:spacing w:after="0" w:line="240" w:lineRule="auto"/>
        <w:jc w:val="both"/>
        <w:rPr>
          <w:rFonts w:ascii="Times New Roman" w:eastAsia="Times New Roman" w:hAnsi="Times New Roman" w:cs="Times New Roman"/>
          <w:sz w:val="20"/>
          <w:szCs w:val="20"/>
        </w:rPr>
      </w:pPr>
    </w:p>
    <w:p w14:paraId="4F9C46D0"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Analysis:</w:t>
      </w:r>
      <w:r>
        <w:rPr>
          <w:rFonts w:ascii="Times New Roman" w:eastAsia="Times New Roman" w:hAnsi="Times New Roman" w:cs="Times New Roman"/>
          <w:sz w:val="20"/>
          <w:szCs w:val="20"/>
        </w:rPr>
        <w:t xml:space="preserve"> Descriptive statistics (means ± SD, percentages). Differences across years assessed via one-way ANOVA or trend test (p &lt; 0.05 significant).</w:t>
      </w:r>
    </w:p>
    <w:p w14:paraId="39558BAE" w14:textId="77777777" w:rsidR="00CC6907" w:rsidRDefault="00CC6907">
      <w:pPr>
        <w:pStyle w:val="Heading2"/>
        <w:spacing w:before="0" w:after="0" w:line="240" w:lineRule="auto"/>
        <w:jc w:val="both"/>
        <w:rPr>
          <w:rFonts w:ascii="Times New Roman" w:eastAsia="Times New Roman" w:hAnsi="Times New Roman" w:cs="Times New Roman"/>
          <w:b/>
          <w:bCs/>
          <w:color w:val="000000"/>
          <w:sz w:val="20"/>
          <w:szCs w:val="20"/>
        </w:rPr>
      </w:pPr>
      <w:bookmarkStart w:id="3" w:name="_heading=h.1862kc9imuas" w:colFirst="0" w:colLast="0"/>
      <w:bookmarkEnd w:id="3"/>
    </w:p>
    <w:p w14:paraId="21DC5E31" w14:textId="77777777" w:rsidR="00CC6907" w:rsidRDefault="00000000">
      <w:pPr>
        <w:pStyle w:val="Heading2"/>
        <w:spacing w:before="0"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Questionnaire</w:t>
      </w:r>
    </w:p>
    <w:p w14:paraId="1E163852"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1)What are Antibiotic agents? </w:t>
      </w:r>
    </w:p>
    <w:p w14:paraId="557B764F" w14:textId="77777777" w:rsidR="00CC6907" w:rsidRDefault="00000000">
      <w:pPr>
        <w:numPr>
          <w:ilvl w:val="0"/>
          <w:numId w:val="1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Drugs used to kill or retard bacterial growth </w:t>
      </w:r>
    </w:p>
    <w:p w14:paraId="7C768A57" w14:textId="77777777" w:rsidR="00CC6907" w:rsidRDefault="00000000">
      <w:pPr>
        <w:numPr>
          <w:ilvl w:val="0"/>
          <w:numId w:val="1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Drugs used to kill or retard viral growth</w:t>
      </w:r>
    </w:p>
    <w:p w14:paraId="6AA61D0B" w14:textId="77777777" w:rsidR="00CC6907" w:rsidRDefault="00000000">
      <w:pPr>
        <w:numPr>
          <w:ilvl w:val="0"/>
          <w:numId w:val="1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Both A and B</w:t>
      </w:r>
    </w:p>
    <w:p w14:paraId="01B52F81" w14:textId="77777777" w:rsidR="00CC6907" w:rsidRDefault="00000000">
      <w:pPr>
        <w:numPr>
          <w:ilvl w:val="0"/>
          <w:numId w:val="1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None of the above</w:t>
      </w:r>
    </w:p>
    <w:p w14:paraId="1EEC08AF" w14:textId="77777777" w:rsidR="00CC6907" w:rsidRDefault="00CC6907">
      <w:pPr>
        <w:spacing w:after="0" w:line="240" w:lineRule="auto"/>
        <w:jc w:val="both"/>
        <w:rPr>
          <w:rFonts w:ascii="Times New Roman" w:eastAsia="Times New Roman" w:hAnsi="Times New Roman" w:cs="Times New Roman"/>
          <w:sz w:val="20"/>
          <w:szCs w:val="20"/>
        </w:rPr>
      </w:pPr>
    </w:p>
    <w:p w14:paraId="6015EA7B"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What is antimicrobial resistance?</w:t>
      </w:r>
    </w:p>
    <w:p w14:paraId="43D15769" w14:textId="77777777" w:rsidR="00CC6907" w:rsidRDefault="00000000">
      <w:pPr>
        <w:numPr>
          <w:ilvl w:val="0"/>
          <w:numId w:val="10"/>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Drugs are effective in killing the microbes </w:t>
      </w:r>
    </w:p>
    <w:p w14:paraId="5113321B" w14:textId="77777777" w:rsidR="00CC6907" w:rsidRDefault="00000000">
      <w:pPr>
        <w:numPr>
          <w:ilvl w:val="0"/>
          <w:numId w:val="10"/>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Drugs are not effective in killing the microbes  </w:t>
      </w:r>
    </w:p>
    <w:p w14:paraId="68762347" w14:textId="77777777" w:rsidR="00CC6907" w:rsidRDefault="00000000">
      <w:pPr>
        <w:numPr>
          <w:ilvl w:val="0"/>
          <w:numId w:val="10"/>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 not know</w:t>
      </w:r>
    </w:p>
    <w:p w14:paraId="17344319" w14:textId="77777777" w:rsidR="00CC6907" w:rsidRDefault="00CC6907">
      <w:pPr>
        <w:spacing w:after="0" w:line="240" w:lineRule="auto"/>
        <w:jc w:val="both"/>
        <w:rPr>
          <w:rFonts w:ascii="Times New Roman" w:eastAsia="Times New Roman" w:hAnsi="Times New Roman" w:cs="Times New Roman"/>
          <w:b/>
          <w:bCs/>
          <w:sz w:val="20"/>
          <w:szCs w:val="20"/>
        </w:rPr>
      </w:pPr>
    </w:p>
    <w:p w14:paraId="4AFEC390"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 Can you get antibiotics from a pharmacist, without prescription as over the counter the drugs?</w:t>
      </w:r>
    </w:p>
    <w:p w14:paraId="2AA14EF8" w14:textId="77777777" w:rsidR="00CC6907" w:rsidRDefault="00000000">
      <w:pPr>
        <w:numPr>
          <w:ilvl w:val="0"/>
          <w:numId w:val="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14:paraId="095F49E7" w14:textId="77777777" w:rsidR="00CC6907" w:rsidRDefault="00000000">
      <w:pPr>
        <w:numPr>
          <w:ilvl w:val="0"/>
          <w:numId w:val="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w:t>
      </w:r>
    </w:p>
    <w:p w14:paraId="27A2D32C" w14:textId="77777777" w:rsidR="00CC6907" w:rsidRDefault="00000000">
      <w:pPr>
        <w:numPr>
          <w:ilvl w:val="0"/>
          <w:numId w:val="7"/>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Under special circumstances</w:t>
      </w:r>
    </w:p>
    <w:p w14:paraId="2C8C17ED" w14:textId="77777777" w:rsidR="00CC6907" w:rsidRDefault="00CC6907">
      <w:pPr>
        <w:spacing w:after="0" w:line="240" w:lineRule="auto"/>
        <w:jc w:val="both"/>
        <w:rPr>
          <w:rFonts w:ascii="Times New Roman" w:eastAsia="Times New Roman" w:hAnsi="Times New Roman" w:cs="Times New Roman"/>
          <w:sz w:val="20"/>
          <w:szCs w:val="20"/>
        </w:rPr>
      </w:pPr>
    </w:p>
    <w:p w14:paraId="157EA9E1"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4) Is it necessary to take antibiotics for common cold and </w:t>
      </w:r>
      <w:proofErr w:type="gramStart"/>
      <w:r>
        <w:rPr>
          <w:rFonts w:ascii="Times New Roman" w:eastAsia="Times New Roman" w:hAnsi="Times New Roman" w:cs="Times New Roman"/>
          <w:b/>
          <w:bCs/>
          <w:sz w:val="20"/>
          <w:szCs w:val="20"/>
        </w:rPr>
        <w:t>diarrhea ?</w:t>
      </w:r>
      <w:proofErr w:type="gramEnd"/>
    </w:p>
    <w:p w14:paraId="3747DADB" w14:textId="77777777" w:rsidR="00CC6907" w:rsidRDefault="00000000">
      <w:pPr>
        <w:numPr>
          <w:ilvl w:val="0"/>
          <w:numId w:val="8"/>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14:paraId="5AA3CD49" w14:textId="77777777" w:rsidR="00CC6907" w:rsidRDefault="00000000">
      <w:pPr>
        <w:numPr>
          <w:ilvl w:val="0"/>
          <w:numId w:val="8"/>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Yes, if the infection doesn’t subside for a long time. </w:t>
      </w:r>
    </w:p>
    <w:p w14:paraId="59075F88" w14:textId="77777777" w:rsidR="00CC6907" w:rsidRDefault="00000000">
      <w:pPr>
        <w:numPr>
          <w:ilvl w:val="0"/>
          <w:numId w:val="8"/>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when prescribed by a doctor</w:t>
      </w:r>
    </w:p>
    <w:p w14:paraId="0AE8C179" w14:textId="77777777" w:rsidR="00CC6907" w:rsidRDefault="00CC6907">
      <w:pPr>
        <w:spacing w:after="0" w:line="240" w:lineRule="auto"/>
        <w:jc w:val="both"/>
        <w:rPr>
          <w:rFonts w:ascii="Times New Roman" w:eastAsia="Times New Roman" w:hAnsi="Times New Roman" w:cs="Times New Roman"/>
          <w:sz w:val="20"/>
          <w:szCs w:val="20"/>
        </w:rPr>
      </w:pPr>
    </w:p>
    <w:p w14:paraId="1E52E300"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 Can we stop antibiotic therapy after the symptoms subside?</w:t>
      </w:r>
    </w:p>
    <w:p w14:paraId="6CDB38A3" w14:textId="77777777" w:rsidR="00CC6907" w:rsidRDefault="00000000">
      <w:pPr>
        <w:numPr>
          <w:ilvl w:val="0"/>
          <w:numId w:val="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Yes, therapy can be stopped. </w:t>
      </w:r>
    </w:p>
    <w:p w14:paraId="3118A38D" w14:textId="77777777" w:rsidR="00CC6907" w:rsidRDefault="00000000">
      <w:pPr>
        <w:numPr>
          <w:ilvl w:val="0"/>
          <w:numId w:val="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 we should complete the regimen</w:t>
      </w:r>
    </w:p>
    <w:p w14:paraId="19472613" w14:textId="77777777" w:rsidR="00CC6907" w:rsidRDefault="00CC6907">
      <w:pPr>
        <w:spacing w:after="0" w:line="240" w:lineRule="auto"/>
        <w:jc w:val="both"/>
        <w:rPr>
          <w:rFonts w:ascii="Times New Roman" w:eastAsia="Times New Roman" w:hAnsi="Times New Roman" w:cs="Times New Roman"/>
          <w:sz w:val="20"/>
          <w:szCs w:val="20"/>
        </w:rPr>
      </w:pPr>
    </w:p>
    <w:p w14:paraId="598C762D"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 Can we take same antibiotic for all the members of a family for a particular symptom?</w:t>
      </w:r>
    </w:p>
    <w:p w14:paraId="7C9E7CED" w14:textId="77777777" w:rsidR="00CC6907" w:rsidRDefault="00000000">
      <w:pPr>
        <w:numPr>
          <w:ilvl w:val="0"/>
          <w:numId w:val="16"/>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 if both persons’ age is similar</w:t>
      </w:r>
    </w:p>
    <w:p w14:paraId="672B9578" w14:textId="77777777" w:rsidR="00CC6907" w:rsidRDefault="00000000">
      <w:pPr>
        <w:numPr>
          <w:ilvl w:val="0"/>
          <w:numId w:val="16"/>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 if the symptoms are very similar</w:t>
      </w:r>
    </w:p>
    <w:p w14:paraId="0E1202B9" w14:textId="77777777" w:rsidR="00CC6907" w:rsidRDefault="00000000">
      <w:pPr>
        <w:numPr>
          <w:ilvl w:val="0"/>
          <w:numId w:val="16"/>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 can’t be used</w:t>
      </w:r>
    </w:p>
    <w:p w14:paraId="63FF3CC9" w14:textId="77777777" w:rsidR="00CC6907" w:rsidRDefault="00CC6907">
      <w:pPr>
        <w:spacing w:after="0" w:line="240" w:lineRule="auto"/>
        <w:jc w:val="both"/>
        <w:rPr>
          <w:rFonts w:ascii="Times New Roman" w:eastAsia="Times New Roman" w:hAnsi="Times New Roman" w:cs="Times New Roman"/>
          <w:sz w:val="20"/>
          <w:szCs w:val="20"/>
        </w:rPr>
      </w:pPr>
    </w:p>
    <w:p w14:paraId="51CBD318"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 Can we take the same antimicrobial drug for subsequent appearance of similar symptoms?</w:t>
      </w:r>
    </w:p>
    <w:p w14:paraId="136E2506" w14:textId="77777777" w:rsidR="00CC6907" w:rsidRDefault="00000000">
      <w:pPr>
        <w:numPr>
          <w:ilvl w:val="0"/>
          <w:numId w:val="6"/>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14:paraId="038F20D7" w14:textId="77777777" w:rsidR="00CC6907" w:rsidRDefault="00000000">
      <w:pPr>
        <w:numPr>
          <w:ilvl w:val="0"/>
          <w:numId w:val="6"/>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14:paraId="24EB7A6D" w14:textId="77777777" w:rsidR="00CC6907" w:rsidRDefault="00CC6907">
      <w:pPr>
        <w:spacing w:after="0" w:line="240" w:lineRule="auto"/>
        <w:jc w:val="both"/>
        <w:rPr>
          <w:rFonts w:ascii="Times New Roman" w:eastAsia="Times New Roman" w:hAnsi="Times New Roman" w:cs="Times New Roman"/>
          <w:sz w:val="20"/>
          <w:szCs w:val="20"/>
        </w:rPr>
      </w:pPr>
    </w:p>
    <w:p w14:paraId="78C4626A"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8) Can you start antibiotic therapy before collecting samples for microbiological examinations?</w:t>
      </w:r>
    </w:p>
    <w:p w14:paraId="21006CE7" w14:textId="77777777" w:rsidR="00CC6907" w:rsidRDefault="00000000">
      <w:pPr>
        <w:numPr>
          <w:ilvl w:val="0"/>
          <w:numId w:val="12"/>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 be started before giving sample</w:t>
      </w:r>
    </w:p>
    <w:p w14:paraId="285E9F14" w14:textId="77777777" w:rsidR="00CC6907" w:rsidRDefault="00000000">
      <w:pPr>
        <w:numPr>
          <w:ilvl w:val="0"/>
          <w:numId w:val="12"/>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 be started if the patient’s condition is serious</w:t>
      </w:r>
    </w:p>
    <w:p w14:paraId="51098ED7" w14:textId="77777777" w:rsidR="00CC6907" w:rsidRDefault="00000000">
      <w:pPr>
        <w:numPr>
          <w:ilvl w:val="0"/>
          <w:numId w:val="12"/>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be started after giving the sample </w:t>
      </w:r>
    </w:p>
    <w:p w14:paraId="76B9C05E" w14:textId="77777777" w:rsidR="00CC6907" w:rsidRDefault="00000000">
      <w:pPr>
        <w:numPr>
          <w:ilvl w:val="0"/>
          <w:numId w:val="12"/>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Can’t be started under any circumstances</w:t>
      </w:r>
    </w:p>
    <w:p w14:paraId="4F15D66D" w14:textId="77777777" w:rsidR="00CC6907" w:rsidRDefault="00CC6907">
      <w:pPr>
        <w:spacing w:after="0" w:line="240" w:lineRule="auto"/>
        <w:jc w:val="both"/>
        <w:rPr>
          <w:rFonts w:ascii="Times New Roman" w:eastAsia="Times New Roman" w:hAnsi="Times New Roman" w:cs="Times New Roman"/>
          <w:sz w:val="20"/>
          <w:szCs w:val="20"/>
        </w:rPr>
      </w:pPr>
    </w:p>
    <w:p w14:paraId="13CFEC3E"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9) People should use antibiotics only when they are prescribed by a doctor?</w:t>
      </w:r>
    </w:p>
    <w:p w14:paraId="2AA6B56E" w14:textId="77777777" w:rsidR="00CC6907" w:rsidRDefault="00000000">
      <w:pPr>
        <w:numPr>
          <w:ilvl w:val="0"/>
          <w:numId w:val="1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Yes </w:t>
      </w:r>
    </w:p>
    <w:p w14:paraId="588B0B8F" w14:textId="77777777" w:rsidR="00CC6907" w:rsidRDefault="00000000">
      <w:pPr>
        <w:numPr>
          <w:ilvl w:val="0"/>
          <w:numId w:val="1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14:paraId="69475B8B" w14:textId="77777777" w:rsidR="00CC6907" w:rsidRDefault="00000000">
      <w:pPr>
        <w:numPr>
          <w:ilvl w:val="0"/>
          <w:numId w:val="1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 be taken by asking the pharmacist</w:t>
      </w:r>
    </w:p>
    <w:p w14:paraId="718FC13B" w14:textId="77777777" w:rsidR="00CC6907" w:rsidRDefault="00CC6907">
      <w:pPr>
        <w:spacing w:after="0" w:line="240" w:lineRule="auto"/>
        <w:jc w:val="both"/>
        <w:rPr>
          <w:rFonts w:ascii="Times New Roman" w:eastAsia="Times New Roman" w:hAnsi="Times New Roman" w:cs="Times New Roman"/>
          <w:sz w:val="20"/>
          <w:szCs w:val="20"/>
        </w:rPr>
      </w:pPr>
    </w:p>
    <w:p w14:paraId="32F4D731"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 Who needs to take responsibility for using antibiotics responsibly?</w:t>
      </w:r>
    </w:p>
    <w:p w14:paraId="75F035DC" w14:textId="77777777" w:rsidR="00CC6907" w:rsidRDefault="00000000">
      <w:pPr>
        <w:numPr>
          <w:ilvl w:val="0"/>
          <w:numId w:val="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Only doctors are responsible</w:t>
      </w:r>
    </w:p>
    <w:p w14:paraId="1B4F2891" w14:textId="77777777" w:rsidR="00CC6907" w:rsidRDefault="00000000">
      <w:pPr>
        <w:numPr>
          <w:ilvl w:val="0"/>
          <w:numId w:val="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Only medical personnel such as doctors, nurses and paramedics are responsible </w:t>
      </w:r>
    </w:p>
    <w:p w14:paraId="46D40F07" w14:textId="77777777" w:rsidR="00CC6907" w:rsidRDefault="00000000">
      <w:pPr>
        <w:numPr>
          <w:ilvl w:val="0"/>
          <w:numId w:val="5"/>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Everybody including medical personnel and patients are responsible</w:t>
      </w:r>
    </w:p>
    <w:p w14:paraId="50515CE7" w14:textId="77777777" w:rsidR="00CC6907" w:rsidRDefault="00CC6907">
      <w:pPr>
        <w:spacing w:after="0" w:line="240" w:lineRule="auto"/>
        <w:jc w:val="both"/>
        <w:rPr>
          <w:rFonts w:ascii="Times New Roman" w:eastAsia="Times New Roman" w:hAnsi="Times New Roman" w:cs="Times New Roman"/>
          <w:sz w:val="20"/>
          <w:szCs w:val="20"/>
        </w:rPr>
      </w:pPr>
    </w:p>
    <w:p w14:paraId="5C65F032"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11) There </w:t>
      </w:r>
      <w:proofErr w:type="gramStart"/>
      <w:r>
        <w:rPr>
          <w:rFonts w:ascii="Times New Roman" w:eastAsia="Times New Roman" w:hAnsi="Times New Roman" w:cs="Times New Roman"/>
          <w:b/>
          <w:bCs/>
          <w:sz w:val="20"/>
          <w:szCs w:val="20"/>
        </w:rPr>
        <w:t>is</w:t>
      </w:r>
      <w:proofErr w:type="gramEnd"/>
      <w:r>
        <w:rPr>
          <w:rFonts w:ascii="Times New Roman" w:eastAsia="Times New Roman" w:hAnsi="Times New Roman" w:cs="Times New Roman"/>
          <w:b/>
          <w:bCs/>
          <w:sz w:val="20"/>
          <w:szCs w:val="20"/>
        </w:rPr>
        <w:t xml:space="preserve"> not much people like me can do to stop antibiotic resistance</w:t>
      </w:r>
      <w:r>
        <w:rPr>
          <w:rFonts w:ascii="Times New Roman" w:eastAsia="Times New Roman" w:hAnsi="Times New Roman" w:cs="Times New Roman"/>
          <w:sz w:val="20"/>
          <w:szCs w:val="20"/>
        </w:rPr>
        <w:t xml:space="preserve"> </w:t>
      </w:r>
    </w:p>
    <w:p w14:paraId="4DBC85AE"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 Strongly disagree</w:t>
      </w:r>
    </w:p>
    <w:p w14:paraId="5461440B"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 Slightly disagree</w:t>
      </w:r>
    </w:p>
    <w:p w14:paraId="327C400D"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 Neither agree nor disagree</w:t>
      </w:r>
    </w:p>
    <w:p w14:paraId="63B1F55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 Slightly agree</w:t>
      </w:r>
    </w:p>
    <w:p w14:paraId="3D1DAA13"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E) Strongly agree</w:t>
      </w:r>
    </w:p>
    <w:p w14:paraId="36127FD5" w14:textId="77777777" w:rsidR="00CC6907" w:rsidRDefault="00CC6907">
      <w:pPr>
        <w:spacing w:after="0" w:line="240" w:lineRule="auto"/>
        <w:jc w:val="both"/>
        <w:rPr>
          <w:rFonts w:ascii="Times New Roman" w:eastAsia="Times New Roman" w:hAnsi="Times New Roman" w:cs="Times New Roman"/>
          <w:sz w:val="20"/>
          <w:szCs w:val="20"/>
        </w:rPr>
      </w:pPr>
    </w:p>
    <w:p w14:paraId="7EBEDB8D"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 Can we increase or decrease the dose and duration of antibiotics depending upon the age of the person?</w:t>
      </w:r>
    </w:p>
    <w:p w14:paraId="7AF9B3DE"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 Yes</w:t>
      </w:r>
    </w:p>
    <w:p w14:paraId="5876516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B) No</w:t>
      </w:r>
    </w:p>
    <w:p w14:paraId="4E1D725F"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 Do not know</w:t>
      </w:r>
    </w:p>
    <w:p w14:paraId="5AB988D1" w14:textId="77777777" w:rsidR="00CC6907" w:rsidRDefault="00CC6907">
      <w:pPr>
        <w:spacing w:after="0" w:line="240" w:lineRule="auto"/>
        <w:jc w:val="both"/>
        <w:rPr>
          <w:rFonts w:ascii="Times New Roman" w:eastAsia="Times New Roman" w:hAnsi="Times New Roman" w:cs="Times New Roman"/>
          <w:b/>
          <w:bCs/>
          <w:sz w:val="20"/>
          <w:szCs w:val="20"/>
        </w:rPr>
      </w:pPr>
    </w:p>
    <w:p w14:paraId="1AC29FC2"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13) Have you heard about antimicrobial stewardship </w:t>
      </w:r>
      <w:proofErr w:type="spellStart"/>
      <w:r>
        <w:rPr>
          <w:rFonts w:ascii="Times New Roman" w:eastAsia="Times New Roman" w:hAnsi="Times New Roman" w:cs="Times New Roman"/>
          <w:b/>
          <w:bCs/>
          <w:sz w:val="20"/>
          <w:szCs w:val="20"/>
        </w:rPr>
        <w:t>programme</w:t>
      </w:r>
      <w:proofErr w:type="spellEnd"/>
      <w:r>
        <w:rPr>
          <w:rFonts w:ascii="Times New Roman" w:eastAsia="Times New Roman" w:hAnsi="Times New Roman" w:cs="Times New Roman"/>
          <w:b/>
          <w:bCs/>
          <w:sz w:val="20"/>
          <w:szCs w:val="20"/>
        </w:rPr>
        <w:t>?</w:t>
      </w:r>
    </w:p>
    <w:p w14:paraId="3777832F" w14:textId="77777777" w:rsidR="00CC6907" w:rsidRDefault="00000000">
      <w:pPr>
        <w:numPr>
          <w:ilvl w:val="0"/>
          <w:numId w:val="1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14:paraId="7EF07444" w14:textId="77777777" w:rsidR="00CC6907" w:rsidRDefault="00000000">
      <w:pPr>
        <w:numPr>
          <w:ilvl w:val="0"/>
          <w:numId w:val="1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14:paraId="69A95EDE" w14:textId="77777777" w:rsidR="00CC6907" w:rsidRDefault="00000000">
      <w:pPr>
        <w:numPr>
          <w:ilvl w:val="0"/>
          <w:numId w:val="1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Can’t remember </w:t>
      </w:r>
    </w:p>
    <w:p w14:paraId="21A968C1" w14:textId="77777777" w:rsidR="00CC6907" w:rsidRDefault="00CC6907">
      <w:pPr>
        <w:spacing w:after="0" w:line="240" w:lineRule="auto"/>
        <w:jc w:val="both"/>
        <w:rPr>
          <w:rFonts w:ascii="Times New Roman" w:eastAsia="Times New Roman" w:hAnsi="Times New Roman" w:cs="Times New Roman"/>
          <w:sz w:val="20"/>
          <w:szCs w:val="20"/>
        </w:rPr>
      </w:pPr>
    </w:p>
    <w:p w14:paraId="7B24827C"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14) If yes, what is the function of antimicrobial stewardship </w:t>
      </w:r>
      <w:proofErr w:type="spellStart"/>
      <w:r>
        <w:rPr>
          <w:rFonts w:ascii="Times New Roman" w:eastAsia="Times New Roman" w:hAnsi="Times New Roman" w:cs="Times New Roman"/>
          <w:b/>
          <w:bCs/>
          <w:sz w:val="20"/>
          <w:szCs w:val="20"/>
        </w:rPr>
        <w:t>programme</w:t>
      </w:r>
      <w:proofErr w:type="spellEnd"/>
      <w:r>
        <w:rPr>
          <w:rFonts w:ascii="Times New Roman" w:eastAsia="Times New Roman" w:hAnsi="Times New Roman" w:cs="Times New Roman"/>
          <w:b/>
          <w:bCs/>
          <w:sz w:val="20"/>
          <w:szCs w:val="20"/>
        </w:rPr>
        <w:t>? (Multiple correct)</w:t>
      </w:r>
    </w:p>
    <w:p w14:paraId="42AECF19"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Do not know</w:t>
      </w:r>
    </w:p>
    <w:p w14:paraId="474BDC41"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Promote the appropriate use of antimicrobials </w:t>
      </w:r>
    </w:p>
    <w:p w14:paraId="444D9237"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Improve patient outcomes </w:t>
      </w:r>
    </w:p>
    <w:p w14:paraId="6EEF1155"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Stoppage of use of antimicrobial agents</w:t>
      </w:r>
    </w:p>
    <w:p w14:paraId="6478E369"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Reduce microbial resistance</w:t>
      </w:r>
    </w:p>
    <w:p w14:paraId="0CB924F7" w14:textId="77777777" w:rsidR="00CC6907" w:rsidRDefault="00000000">
      <w:pPr>
        <w:numPr>
          <w:ilvl w:val="0"/>
          <w:numId w:val="14"/>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Decrease spread of infection</w:t>
      </w:r>
    </w:p>
    <w:p w14:paraId="35CBC7D6"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5BE27BE"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15) Who all comprise the antimicrobial stewardship team? (multiple correct)</w:t>
      </w:r>
    </w:p>
    <w:p w14:paraId="4B079D68"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Medical students</w:t>
      </w:r>
    </w:p>
    <w:p w14:paraId="7E2E8282"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Prescribing physician</w:t>
      </w:r>
    </w:p>
    <w:p w14:paraId="5951AC5D"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Pharmacist</w:t>
      </w:r>
    </w:p>
    <w:p w14:paraId="2D4E3E6F"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Nurse</w:t>
      </w:r>
    </w:p>
    <w:p w14:paraId="2DBDE937"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Microbiologist</w:t>
      </w:r>
    </w:p>
    <w:p w14:paraId="69A8A1FE" w14:textId="77777777" w:rsidR="00CC6907" w:rsidRDefault="00000000">
      <w:pPr>
        <w:numPr>
          <w:ilvl w:val="0"/>
          <w:numId w:val="3"/>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Patients</w:t>
      </w:r>
    </w:p>
    <w:p w14:paraId="055B8443"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2EDC2E7"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16) Would you, as </w:t>
      </w:r>
      <w:proofErr w:type="gramStart"/>
      <w:r>
        <w:rPr>
          <w:rFonts w:ascii="Times New Roman" w:eastAsia="Times New Roman" w:hAnsi="Times New Roman" w:cs="Times New Roman"/>
          <w:b/>
          <w:bCs/>
          <w:sz w:val="20"/>
          <w:szCs w:val="20"/>
        </w:rPr>
        <w:t>a  medical</w:t>
      </w:r>
      <w:proofErr w:type="gramEnd"/>
      <w:r>
        <w:rPr>
          <w:rFonts w:ascii="Times New Roman" w:eastAsia="Times New Roman" w:hAnsi="Times New Roman" w:cs="Times New Roman"/>
          <w:b/>
          <w:bCs/>
          <w:sz w:val="20"/>
          <w:szCs w:val="20"/>
        </w:rPr>
        <w:t xml:space="preserve"> student educate your family and friends about antimicrobial resistance and </w:t>
      </w:r>
      <w:proofErr w:type="spellStart"/>
      <w:r>
        <w:rPr>
          <w:rFonts w:ascii="Times New Roman" w:eastAsia="Times New Roman" w:hAnsi="Times New Roman" w:cs="Times New Roman"/>
          <w:b/>
          <w:bCs/>
          <w:sz w:val="20"/>
          <w:szCs w:val="20"/>
        </w:rPr>
        <w:t>it’s</w:t>
      </w:r>
      <w:proofErr w:type="spellEnd"/>
      <w:r>
        <w:rPr>
          <w:rFonts w:ascii="Times New Roman" w:eastAsia="Times New Roman" w:hAnsi="Times New Roman" w:cs="Times New Roman"/>
          <w:b/>
          <w:bCs/>
          <w:sz w:val="20"/>
          <w:szCs w:val="20"/>
        </w:rPr>
        <w:t xml:space="preserve"> role in treatment failures?</w:t>
      </w:r>
    </w:p>
    <w:p w14:paraId="165AD31D" w14:textId="77777777" w:rsidR="00CC6907" w:rsidRDefault="00CC6907">
      <w:pPr>
        <w:spacing w:after="0" w:line="240" w:lineRule="auto"/>
        <w:jc w:val="both"/>
        <w:rPr>
          <w:rFonts w:ascii="Times New Roman" w:eastAsia="Times New Roman" w:hAnsi="Times New Roman" w:cs="Times New Roman"/>
          <w:sz w:val="20"/>
          <w:szCs w:val="20"/>
        </w:rPr>
      </w:pPr>
    </w:p>
    <w:p w14:paraId="3561C60B" w14:textId="77777777" w:rsidR="00CC6907" w:rsidRDefault="00000000">
      <w:pPr>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p w14:paraId="02F76AEB" w14:textId="77777777" w:rsidR="00CC6907" w:rsidRDefault="00000000">
      <w:pPr>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When possible</w:t>
      </w:r>
    </w:p>
    <w:p w14:paraId="68CD6175" w14:textId="77777777" w:rsidR="00CC6907" w:rsidRDefault="00000000">
      <w:pPr>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w:t>
      </w:r>
    </w:p>
    <w:p w14:paraId="2A20A62A" w14:textId="77777777" w:rsidR="00CC6907" w:rsidRDefault="00CC6907">
      <w:pPr>
        <w:pStyle w:val="Heading2"/>
        <w:spacing w:before="0" w:after="0" w:line="240" w:lineRule="auto"/>
        <w:jc w:val="both"/>
        <w:rPr>
          <w:rFonts w:ascii="Times New Roman" w:eastAsia="Times New Roman" w:hAnsi="Times New Roman" w:cs="Times New Roman"/>
          <w:b/>
          <w:bCs/>
          <w:color w:val="000000"/>
          <w:sz w:val="20"/>
          <w:szCs w:val="20"/>
        </w:rPr>
      </w:pPr>
      <w:bookmarkStart w:id="4" w:name="_heading=h.1fxbm23jlny7" w:colFirst="0" w:colLast="0"/>
      <w:bookmarkEnd w:id="4"/>
    </w:p>
    <w:p w14:paraId="41936FE0" w14:textId="77777777" w:rsidR="00CC6907" w:rsidRDefault="00000000">
      <w:pPr>
        <w:pStyle w:val="Heading2"/>
        <w:spacing w:before="0" w:after="0"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Key</w:t>
      </w:r>
    </w:p>
    <w:p w14:paraId="5037BD50"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p w14:paraId="05669735"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p w14:paraId="4BC38A5E"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p w14:paraId="27A0283E"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p w14:paraId="4634A22C"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p w14:paraId="6C3E4F0B"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p w14:paraId="2D6B49C4"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w:t>
      </w:r>
    </w:p>
    <w:p w14:paraId="07F9A5EB"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p w14:paraId="0F5EE750"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p w14:paraId="46DCB1B8"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p w14:paraId="1B9AA887"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p w14:paraId="173FFDDD"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p w14:paraId="0CFAD151"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p w14:paraId="0D3CD597"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C, E, F</w:t>
      </w:r>
    </w:p>
    <w:p w14:paraId="71DAA811"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C, D, E</w:t>
      </w:r>
    </w:p>
    <w:p w14:paraId="6C6E8670" w14:textId="77777777" w:rsidR="00CC6907" w:rsidRDefault="00000000">
      <w:pPr>
        <w:numPr>
          <w:ilvl w:val="0"/>
          <w:numId w:val="9"/>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p w14:paraId="6728770A" w14:textId="77777777" w:rsidR="00CC6907" w:rsidRDefault="00CC6907">
      <w:pPr>
        <w:spacing w:after="0" w:line="240" w:lineRule="auto"/>
        <w:jc w:val="both"/>
        <w:rPr>
          <w:rFonts w:ascii="Times New Roman" w:eastAsia="Times New Roman" w:hAnsi="Times New Roman" w:cs="Times New Roman"/>
          <w:sz w:val="20"/>
          <w:szCs w:val="20"/>
        </w:rPr>
      </w:pPr>
    </w:p>
    <w:p w14:paraId="166B9A52" w14:textId="77777777" w:rsidR="00CC6907" w:rsidRDefault="00000000" w:rsidP="00AD7686">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RESULTS</w:t>
      </w:r>
    </w:p>
    <w:p w14:paraId="390BED8B" w14:textId="77777777" w:rsidR="00CC6907" w:rsidRDefault="00000000" w:rsidP="00AD768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total of 662 students has participated in the study with voluntary consent, of which 602 students were undergraduates and 60 students were postgraduates.</w:t>
      </w:r>
    </w:p>
    <w:p w14:paraId="19A4B85A" w14:textId="77777777" w:rsidR="00CC6907" w:rsidRDefault="00000000" w:rsidP="00AD768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Percentage of participants from each year as follows</w:t>
      </w:r>
    </w:p>
    <w:tbl>
      <w:tblPr>
        <w:tblStyle w:val="a0"/>
        <w:tblW w:w="90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0"/>
        <w:gridCol w:w="3009"/>
        <w:gridCol w:w="3009"/>
      </w:tblGrid>
      <w:tr w:rsidR="00CC6907" w14:paraId="5426641C" w14:textId="77777777" w:rsidTr="00AD7686">
        <w:trPr>
          <w:trHeight w:val="227"/>
          <w:jc w:val="center"/>
        </w:trPr>
        <w:tc>
          <w:tcPr>
            <w:tcW w:w="3010" w:type="dxa"/>
            <w:tcMar>
              <w:top w:w="100" w:type="dxa"/>
              <w:left w:w="100" w:type="dxa"/>
              <w:bottom w:w="100" w:type="dxa"/>
              <w:right w:w="100" w:type="dxa"/>
            </w:tcMar>
          </w:tcPr>
          <w:p w14:paraId="5F4119C7" w14:textId="77777777" w:rsidR="00CC6907" w:rsidRDefault="00000000" w:rsidP="00AD7686">
            <w:pPr>
              <w:widowControl w:val="0"/>
              <w:spacing w:after="0" w:line="240" w:lineRule="auto"/>
              <w:jc w:val="center"/>
              <w:rPr>
                <w:b/>
                <w:bCs/>
              </w:rPr>
            </w:pPr>
            <w:r>
              <w:rPr>
                <w:b/>
                <w:bCs/>
              </w:rPr>
              <w:t>Year of study</w:t>
            </w:r>
          </w:p>
        </w:tc>
        <w:tc>
          <w:tcPr>
            <w:tcW w:w="3009" w:type="dxa"/>
            <w:tcMar>
              <w:top w:w="100" w:type="dxa"/>
              <w:left w:w="100" w:type="dxa"/>
              <w:bottom w:w="100" w:type="dxa"/>
              <w:right w:w="100" w:type="dxa"/>
            </w:tcMar>
          </w:tcPr>
          <w:p w14:paraId="5F86D343" w14:textId="77777777" w:rsidR="00CC6907" w:rsidRDefault="00000000" w:rsidP="00AD7686">
            <w:pPr>
              <w:widowControl w:val="0"/>
              <w:spacing w:after="0" w:line="240" w:lineRule="auto"/>
              <w:jc w:val="center"/>
              <w:rPr>
                <w:b/>
                <w:bCs/>
              </w:rPr>
            </w:pPr>
            <w:r>
              <w:rPr>
                <w:b/>
                <w:bCs/>
              </w:rPr>
              <w:t xml:space="preserve">Number of participants </w:t>
            </w:r>
          </w:p>
        </w:tc>
        <w:tc>
          <w:tcPr>
            <w:tcW w:w="3009" w:type="dxa"/>
            <w:tcMar>
              <w:top w:w="100" w:type="dxa"/>
              <w:left w:w="100" w:type="dxa"/>
              <w:bottom w:w="100" w:type="dxa"/>
              <w:right w:w="100" w:type="dxa"/>
            </w:tcMar>
          </w:tcPr>
          <w:p w14:paraId="5263A7BA" w14:textId="77777777" w:rsidR="00CC6907" w:rsidRDefault="00000000" w:rsidP="00AD7686">
            <w:pPr>
              <w:widowControl w:val="0"/>
              <w:spacing w:after="0" w:line="240" w:lineRule="auto"/>
              <w:jc w:val="center"/>
              <w:rPr>
                <w:b/>
                <w:bCs/>
              </w:rPr>
            </w:pPr>
            <w:r>
              <w:rPr>
                <w:b/>
                <w:bCs/>
              </w:rPr>
              <w:t xml:space="preserve">Percentage out of total </w:t>
            </w:r>
          </w:p>
        </w:tc>
      </w:tr>
      <w:tr w:rsidR="00CC6907" w14:paraId="452F29F2" w14:textId="77777777" w:rsidTr="00AD7686">
        <w:trPr>
          <w:trHeight w:val="227"/>
          <w:jc w:val="center"/>
        </w:trPr>
        <w:tc>
          <w:tcPr>
            <w:tcW w:w="3010" w:type="dxa"/>
            <w:tcMar>
              <w:top w:w="100" w:type="dxa"/>
              <w:left w:w="100" w:type="dxa"/>
              <w:bottom w:w="100" w:type="dxa"/>
              <w:right w:w="100" w:type="dxa"/>
            </w:tcMar>
          </w:tcPr>
          <w:p w14:paraId="5FDB6255" w14:textId="77777777" w:rsidR="00CC6907" w:rsidRDefault="00000000" w:rsidP="00AD7686">
            <w:pPr>
              <w:widowControl w:val="0"/>
              <w:spacing w:after="0" w:line="240" w:lineRule="auto"/>
              <w:jc w:val="center"/>
            </w:pPr>
            <w:r>
              <w:t>UG MBBS first year</w:t>
            </w:r>
          </w:p>
        </w:tc>
        <w:tc>
          <w:tcPr>
            <w:tcW w:w="3009" w:type="dxa"/>
            <w:tcMar>
              <w:top w:w="100" w:type="dxa"/>
              <w:left w:w="100" w:type="dxa"/>
              <w:bottom w:w="100" w:type="dxa"/>
              <w:right w:w="100" w:type="dxa"/>
            </w:tcMar>
          </w:tcPr>
          <w:p w14:paraId="7E5840C0" w14:textId="77777777" w:rsidR="00CC6907" w:rsidRDefault="00000000" w:rsidP="00AD7686">
            <w:pPr>
              <w:widowControl w:val="0"/>
              <w:spacing w:after="0" w:line="240" w:lineRule="auto"/>
              <w:jc w:val="center"/>
            </w:pPr>
            <w:r>
              <w:t>146</w:t>
            </w:r>
          </w:p>
        </w:tc>
        <w:tc>
          <w:tcPr>
            <w:tcW w:w="3009" w:type="dxa"/>
            <w:tcMar>
              <w:top w:w="100" w:type="dxa"/>
              <w:left w:w="100" w:type="dxa"/>
              <w:bottom w:w="100" w:type="dxa"/>
              <w:right w:w="100" w:type="dxa"/>
            </w:tcMar>
          </w:tcPr>
          <w:p w14:paraId="1AB8F8D8" w14:textId="77777777" w:rsidR="00CC6907" w:rsidRDefault="00000000" w:rsidP="00AD7686">
            <w:pPr>
              <w:widowControl w:val="0"/>
              <w:spacing w:after="0" w:line="240" w:lineRule="auto"/>
              <w:jc w:val="center"/>
            </w:pPr>
            <w:r>
              <w:t>22.05%</w:t>
            </w:r>
          </w:p>
        </w:tc>
      </w:tr>
      <w:tr w:rsidR="00CC6907" w14:paraId="7CF5EB44" w14:textId="77777777" w:rsidTr="00AD7686">
        <w:trPr>
          <w:trHeight w:val="227"/>
          <w:jc w:val="center"/>
        </w:trPr>
        <w:tc>
          <w:tcPr>
            <w:tcW w:w="3010" w:type="dxa"/>
            <w:tcMar>
              <w:top w:w="100" w:type="dxa"/>
              <w:left w:w="100" w:type="dxa"/>
              <w:bottom w:w="100" w:type="dxa"/>
              <w:right w:w="100" w:type="dxa"/>
            </w:tcMar>
          </w:tcPr>
          <w:p w14:paraId="3D68FA96" w14:textId="77777777" w:rsidR="00CC6907" w:rsidRDefault="00000000" w:rsidP="00AD7686">
            <w:pPr>
              <w:widowControl w:val="0"/>
              <w:spacing w:after="0" w:line="240" w:lineRule="auto"/>
              <w:jc w:val="center"/>
            </w:pPr>
            <w:r>
              <w:t>UG MBBS second year</w:t>
            </w:r>
          </w:p>
        </w:tc>
        <w:tc>
          <w:tcPr>
            <w:tcW w:w="3009" w:type="dxa"/>
            <w:tcMar>
              <w:top w:w="100" w:type="dxa"/>
              <w:left w:w="100" w:type="dxa"/>
              <w:bottom w:w="100" w:type="dxa"/>
              <w:right w:w="100" w:type="dxa"/>
            </w:tcMar>
          </w:tcPr>
          <w:p w14:paraId="7F6225E1" w14:textId="77777777" w:rsidR="00CC6907" w:rsidRDefault="00000000" w:rsidP="00AD7686">
            <w:pPr>
              <w:widowControl w:val="0"/>
              <w:spacing w:after="0" w:line="240" w:lineRule="auto"/>
              <w:jc w:val="center"/>
            </w:pPr>
            <w:r>
              <w:t>133</w:t>
            </w:r>
          </w:p>
        </w:tc>
        <w:tc>
          <w:tcPr>
            <w:tcW w:w="3009" w:type="dxa"/>
            <w:tcMar>
              <w:top w:w="100" w:type="dxa"/>
              <w:left w:w="100" w:type="dxa"/>
              <w:bottom w:w="100" w:type="dxa"/>
              <w:right w:w="100" w:type="dxa"/>
            </w:tcMar>
          </w:tcPr>
          <w:p w14:paraId="73541D53" w14:textId="77777777" w:rsidR="00CC6907" w:rsidRDefault="00000000" w:rsidP="00AD7686">
            <w:pPr>
              <w:widowControl w:val="0"/>
              <w:spacing w:after="0" w:line="240" w:lineRule="auto"/>
              <w:jc w:val="center"/>
            </w:pPr>
            <w:r>
              <w:t>20.09%</w:t>
            </w:r>
          </w:p>
        </w:tc>
      </w:tr>
      <w:tr w:rsidR="00CC6907" w14:paraId="10CD1B2E" w14:textId="77777777" w:rsidTr="00AD7686">
        <w:trPr>
          <w:trHeight w:val="227"/>
          <w:jc w:val="center"/>
        </w:trPr>
        <w:tc>
          <w:tcPr>
            <w:tcW w:w="3010" w:type="dxa"/>
            <w:tcMar>
              <w:top w:w="100" w:type="dxa"/>
              <w:left w:w="100" w:type="dxa"/>
              <w:bottom w:w="100" w:type="dxa"/>
              <w:right w:w="100" w:type="dxa"/>
            </w:tcMar>
          </w:tcPr>
          <w:p w14:paraId="014F821F" w14:textId="77777777" w:rsidR="00CC6907" w:rsidRDefault="00000000" w:rsidP="00AD7686">
            <w:pPr>
              <w:widowControl w:val="0"/>
              <w:spacing w:after="0" w:line="240" w:lineRule="auto"/>
              <w:jc w:val="center"/>
            </w:pPr>
            <w:r>
              <w:t>UG MBBS third year</w:t>
            </w:r>
          </w:p>
        </w:tc>
        <w:tc>
          <w:tcPr>
            <w:tcW w:w="3009" w:type="dxa"/>
            <w:tcMar>
              <w:top w:w="100" w:type="dxa"/>
              <w:left w:w="100" w:type="dxa"/>
              <w:bottom w:w="100" w:type="dxa"/>
              <w:right w:w="100" w:type="dxa"/>
            </w:tcMar>
          </w:tcPr>
          <w:p w14:paraId="623FA0D2" w14:textId="77777777" w:rsidR="00CC6907" w:rsidRDefault="00000000" w:rsidP="00AD7686">
            <w:pPr>
              <w:widowControl w:val="0"/>
              <w:spacing w:after="0" w:line="240" w:lineRule="auto"/>
              <w:jc w:val="center"/>
            </w:pPr>
            <w:r>
              <w:t>116</w:t>
            </w:r>
          </w:p>
        </w:tc>
        <w:tc>
          <w:tcPr>
            <w:tcW w:w="3009" w:type="dxa"/>
            <w:tcMar>
              <w:top w:w="100" w:type="dxa"/>
              <w:left w:w="100" w:type="dxa"/>
              <w:bottom w:w="100" w:type="dxa"/>
              <w:right w:w="100" w:type="dxa"/>
            </w:tcMar>
          </w:tcPr>
          <w:p w14:paraId="3E099605" w14:textId="77777777" w:rsidR="00CC6907" w:rsidRDefault="00000000" w:rsidP="00AD7686">
            <w:pPr>
              <w:widowControl w:val="0"/>
              <w:spacing w:after="0" w:line="240" w:lineRule="auto"/>
              <w:jc w:val="center"/>
            </w:pPr>
            <w:r>
              <w:t>17.52%</w:t>
            </w:r>
          </w:p>
        </w:tc>
      </w:tr>
      <w:tr w:rsidR="00CC6907" w14:paraId="1CD0C133" w14:textId="77777777" w:rsidTr="00AD7686">
        <w:trPr>
          <w:trHeight w:val="227"/>
          <w:jc w:val="center"/>
        </w:trPr>
        <w:tc>
          <w:tcPr>
            <w:tcW w:w="3010" w:type="dxa"/>
            <w:tcMar>
              <w:top w:w="100" w:type="dxa"/>
              <w:left w:w="100" w:type="dxa"/>
              <w:bottom w:w="100" w:type="dxa"/>
              <w:right w:w="100" w:type="dxa"/>
            </w:tcMar>
          </w:tcPr>
          <w:p w14:paraId="279873A0" w14:textId="77777777" w:rsidR="00CC6907" w:rsidRDefault="00000000" w:rsidP="00AD7686">
            <w:pPr>
              <w:widowControl w:val="0"/>
              <w:spacing w:after="0" w:line="240" w:lineRule="auto"/>
              <w:jc w:val="center"/>
            </w:pPr>
            <w:r>
              <w:t>UG MBBS fourth year</w:t>
            </w:r>
          </w:p>
        </w:tc>
        <w:tc>
          <w:tcPr>
            <w:tcW w:w="3009" w:type="dxa"/>
            <w:tcMar>
              <w:top w:w="100" w:type="dxa"/>
              <w:left w:w="100" w:type="dxa"/>
              <w:bottom w:w="100" w:type="dxa"/>
              <w:right w:w="100" w:type="dxa"/>
            </w:tcMar>
          </w:tcPr>
          <w:p w14:paraId="1E9898A5" w14:textId="77777777" w:rsidR="00CC6907" w:rsidRDefault="00000000" w:rsidP="00AD7686">
            <w:pPr>
              <w:widowControl w:val="0"/>
              <w:spacing w:after="0" w:line="240" w:lineRule="auto"/>
              <w:jc w:val="center"/>
            </w:pPr>
            <w:r>
              <w:t>121</w:t>
            </w:r>
          </w:p>
        </w:tc>
        <w:tc>
          <w:tcPr>
            <w:tcW w:w="3009" w:type="dxa"/>
            <w:tcMar>
              <w:top w:w="100" w:type="dxa"/>
              <w:left w:w="100" w:type="dxa"/>
              <w:bottom w:w="100" w:type="dxa"/>
              <w:right w:w="100" w:type="dxa"/>
            </w:tcMar>
          </w:tcPr>
          <w:p w14:paraId="5F24AB69" w14:textId="77777777" w:rsidR="00CC6907" w:rsidRDefault="00000000" w:rsidP="00AD7686">
            <w:pPr>
              <w:widowControl w:val="0"/>
              <w:spacing w:after="0" w:line="240" w:lineRule="auto"/>
              <w:jc w:val="center"/>
            </w:pPr>
            <w:r>
              <w:t>18.25%</w:t>
            </w:r>
          </w:p>
        </w:tc>
      </w:tr>
      <w:tr w:rsidR="00CC6907" w14:paraId="15729595" w14:textId="77777777" w:rsidTr="00AD7686">
        <w:trPr>
          <w:trHeight w:val="227"/>
          <w:jc w:val="center"/>
        </w:trPr>
        <w:tc>
          <w:tcPr>
            <w:tcW w:w="3010" w:type="dxa"/>
            <w:tcMar>
              <w:top w:w="100" w:type="dxa"/>
              <w:left w:w="100" w:type="dxa"/>
              <w:bottom w:w="100" w:type="dxa"/>
              <w:right w:w="100" w:type="dxa"/>
            </w:tcMar>
          </w:tcPr>
          <w:p w14:paraId="0F908424" w14:textId="77777777" w:rsidR="00CC6907" w:rsidRDefault="00000000" w:rsidP="00AD7686">
            <w:pPr>
              <w:widowControl w:val="0"/>
              <w:spacing w:after="0" w:line="240" w:lineRule="auto"/>
              <w:jc w:val="center"/>
            </w:pPr>
            <w:r>
              <w:t>Internees</w:t>
            </w:r>
          </w:p>
        </w:tc>
        <w:tc>
          <w:tcPr>
            <w:tcW w:w="3009" w:type="dxa"/>
            <w:tcMar>
              <w:top w:w="100" w:type="dxa"/>
              <w:left w:w="100" w:type="dxa"/>
              <w:bottom w:w="100" w:type="dxa"/>
              <w:right w:w="100" w:type="dxa"/>
            </w:tcMar>
          </w:tcPr>
          <w:p w14:paraId="362A1EEA" w14:textId="77777777" w:rsidR="00CC6907" w:rsidRDefault="00000000" w:rsidP="00AD7686">
            <w:pPr>
              <w:widowControl w:val="0"/>
              <w:spacing w:after="0" w:line="240" w:lineRule="auto"/>
              <w:jc w:val="center"/>
            </w:pPr>
            <w:r>
              <w:t>86</w:t>
            </w:r>
          </w:p>
        </w:tc>
        <w:tc>
          <w:tcPr>
            <w:tcW w:w="3009" w:type="dxa"/>
            <w:tcMar>
              <w:top w:w="100" w:type="dxa"/>
              <w:left w:w="100" w:type="dxa"/>
              <w:bottom w:w="100" w:type="dxa"/>
              <w:right w:w="100" w:type="dxa"/>
            </w:tcMar>
          </w:tcPr>
          <w:p w14:paraId="08F0B594" w14:textId="77777777" w:rsidR="00CC6907" w:rsidRDefault="00000000" w:rsidP="00AD7686">
            <w:pPr>
              <w:widowControl w:val="0"/>
              <w:spacing w:after="0" w:line="240" w:lineRule="auto"/>
              <w:jc w:val="center"/>
            </w:pPr>
            <w:r>
              <w:t>12.99%</w:t>
            </w:r>
          </w:p>
        </w:tc>
      </w:tr>
      <w:tr w:rsidR="00CC6907" w14:paraId="18C387F5" w14:textId="77777777" w:rsidTr="00AD7686">
        <w:trPr>
          <w:trHeight w:val="227"/>
          <w:jc w:val="center"/>
        </w:trPr>
        <w:tc>
          <w:tcPr>
            <w:tcW w:w="3010" w:type="dxa"/>
            <w:tcMar>
              <w:top w:w="100" w:type="dxa"/>
              <w:left w:w="100" w:type="dxa"/>
              <w:bottom w:w="100" w:type="dxa"/>
              <w:right w:w="100" w:type="dxa"/>
            </w:tcMar>
          </w:tcPr>
          <w:p w14:paraId="67E12C0D" w14:textId="77777777" w:rsidR="00CC6907" w:rsidRDefault="00000000" w:rsidP="00AD7686">
            <w:pPr>
              <w:widowControl w:val="0"/>
              <w:spacing w:after="0" w:line="240" w:lineRule="auto"/>
              <w:jc w:val="center"/>
            </w:pPr>
            <w:r>
              <w:t>Postgraduates</w:t>
            </w:r>
          </w:p>
        </w:tc>
        <w:tc>
          <w:tcPr>
            <w:tcW w:w="3009" w:type="dxa"/>
            <w:tcMar>
              <w:top w:w="100" w:type="dxa"/>
              <w:left w:w="100" w:type="dxa"/>
              <w:bottom w:w="100" w:type="dxa"/>
              <w:right w:w="100" w:type="dxa"/>
            </w:tcMar>
          </w:tcPr>
          <w:p w14:paraId="4463CE08" w14:textId="77777777" w:rsidR="00CC6907" w:rsidRDefault="00000000" w:rsidP="00AD7686">
            <w:pPr>
              <w:widowControl w:val="0"/>
              <w:spacing w:after="0" w:line="240" w:lineRule="auto"/>
              <w:jc w:val="center"/>
            </w:pPr>
            <w:r>
              <w:t>60</w:t>
            </w:r>
          </w:p>
        </w:tc>
        <w:tc>
          <w:tcPr>
            <w:tcW w:w="3009" w:type="dxa"/>
            <w:tcMar>
              <w:top w:w="100" w:type="dxa"/>
              <w:left w:w="100" w:type="dxa"/>
              <w:bottom w:w="100" w:type="dxa"/>
              <w:right w:w="100" w:type="dxa"/>
            </w:tcMar>
          </w:tcPr>
          <w:p w14:paraId="43E3E48B" w14:textId="77777777" w:rsidR="00CC6907" w:rsidRDefault="00000000" w:rsidP="00AD7686">
            <w:pPr>
              <w:widowControl w:val="0"/>
              <w:spacing w:after="0" w:line="240" w:lineRule="auto"/>
              <w:jc w:val="center"/>
            </w:pPr>
            <w:r>
              <w:t>9.06%</w:t>
            </w:r>
          </w:p>
        </w:tc>
      </w:tr>
      <w:tr w:rsidR="00CC6907" w14:paraId="78416995" w14:textId="77777777" w:rsidTr="00AD7686">
        <w:trPr>
          <w:trHeight w:val="227"/>
          <w:jc w:val="center"/>
        </w:trPr>
        <w:tc>
          <w:tcPr>
            <w:tcW w:w="3010" w:type="dxa"/>
            <w:tcMar>
              <w:top w:w="100" w:type="dxa"/>
              <w:left w:w="100" w:type="dxa"/>
              <w:bottom w:w="100" w:type="dxa"/>
              <w:right w:w="100" w:type="dxa"/>
            </w:tcMar>
          </w:tcPr>
          <w:p w14:paraId="20438538" w14:textId="77777777" w:rsidR="00CC6907" w:rsidRDefault="00000000" w:rsidP="00AD7686">
            <w:pPr>
              <w:widowControl w:val="0"/>
              <w:spacing w:after="0" w:line="240" w:lineRule="auto"/>
              <w:jc w:val="center"/>
            </w:pPr>
            <w:r>
              <w:t>Total</w:t>
            </w:r>
          </w:p>
        </w:tc>
        <w:tc>
          <w:tcPr>
            <w:tcW w:w="3009" w:type="dxa"/>
            <w:tcMar>
              <w:top w:w="100" w:type="dxa"/>
              <w:left w:w="100" w:type="dxa"/>
              <w:bottom w:w="100" w:type="dxa"/>
              <w:right w:w="100" w:type="dxa"/>
            </w:tcMar>
          </w:tcPr>
          <w:p w14:paraId="595A6632" w14:textId="77777777" w:rsidR="00CC6907" w:rsidRDefault="00000000" w:rsidP="00AD7686">
            <w:pPr>
              <w:widowControl w:val="0"/>
              <w:spacing w:after="0" w:line="240" w:lineRule="auto"/>
              <w:jc w:val="center"/>
            </w:pPr>
            <w:r>
              <w:t>662</w:t>
            </w:r>
          </w:p>
        </w:tc>
        <w:tc>
          <w:tcPr>
            <w:tcW w:w="3009" w:type="dxa"/>
            <w:tcMar>
              <w:top w:w="100" w:type="dxa"/>
              <w:left w:w="100" w:type="dxa"/>
              <w:bottom w:w="100" w:type="dxa"/>
              <w:right w:w="100" w:type="dxa"/>
            </w:tcMar>
          </w:tcPr>
          <w:p w14:paraId="7C0F767C" w14:textId="77777777" w:rsidR="00CC6907" w:rsidRDefault="00000000" w:rsidP="00AD7686">
            <w:pPr>
              <w:widowControl w:val="0"/>
              <w:spacing w:after="0" w:line="240" w:lineRule="auto"/>
              <w:jc w:val="center"/>
            </w:pPr>
            <w:r>
              <w:t>100%</w:t>
            </w:r>
          </w:p>
        </w:tc>
      </w:tr>
    </w:tbl>
    <w:p w14:paraId="007C60C2" w14:textId="77777777" w:rsidR="00CC6907" w:rsidRDefault="00CC6907" w:rsidP="00AD7686">
      <w:pPr>
        <w:spacing w:after="0" w:line="240" w:lineRule="auto"/>
      </w:pPr>
    </w:p>
    <w:p w14:paraId="3E98AE0C" w14:textId="77777777" w:rsidR="00CC6907" w:rsidRDefault="00000000" w:rsidP="00AD768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Average scores of each year students are given</w:t>
      </w:r>
    </w:p>
    <w:tbl>
      <w:tblPr>
        <w:tblStyle w:val="a1"/>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1815"/>
        <w:gridCol w:w="4559"/>
      </w:tblGrid>
      <w:tr w:rsidR="00CC6907" w14:paraId="18AB2198" w14:textId="77777777" w:rsidTr="00AD7686">
        <w:trPr>
          <w:trHeight w:val="20"/>
          <w:jc w:val="center"/>
        </w:trPr>
        <w:tc>
          <w:tcPr>
            <w:tcW w:w="2655" w:type="dxa"/>
            <w:tcMar>
              <w:top w:w="100" w:type="dxa"/>
              <w:left w:w="100" w:type="dxa"/>
              <w:bottom w:w="100" w:type="dxa"/>
              <w:right w:w="100" w:type="dxa"/>
            </w:tcMar>
          </w:tcPr>
          <w:p w14:paraId="0259C55A" w14:textId="77777777" w:rsidR="00CC6907" w:rsidRDefault="00CC6907" w:rsidP="00AD7686">
            <w:pPr>
              <w:widowControl w:val="0"/>
              <w:pBdr>
                <w:top w:val="nil"/>
                <w:left w:val="nil"/>
                <w:bottom w:val="nil"/>
                <w:right w:val="nil"/>
                <w:between w:val="nil"/>
              </w:pBdr>
              <w:spacing w:line="240" w:lineRule="auto"/>
              <w:jc w:val="center"/>
              <w:rPr>
                <w:b/>
                <w:bCs/>
              </w:rPr>
            </w:pPr>
          </w:p>
          <w:p w14:paraId="48F4B51B" w14:textId="77777777" w:rsidR="00CC6907" w:rsidRDefault="00000000" w:rsidP="00AD7686">
            <w:pPr>
              <w:widowControl w:val="0"/>
              <w:pBdr>
                <w:top w:val="nil"/>
                <w:left w:val="nil"/>
                <w:bottom w:val="nil"/>
                <w:right w:val="nil"/>
                <w:between w:val="nil"/>
              </w:pBdr>
              <w:spacing w:line="240" w:lineRule="auto"/>
              <w:jc w:val="center"/>
              <w:rPr>
                <w:b/>
                <w:bCs/>
              </w:rPr>
            </w:pPr>
            <w:r>
              <w:rPr>
                <w:b/>
                <w:bCs/>
              </w:rPr>
              <w:t>Year of study</w:t>
            </w:r>
          </w:p>
        </w:tc>
        <w:tc>
          <w:tcPr>
            <w:tcW w:w="1815" w:type="dxa"/>
            <w:tcMar>
              <w:top w:w="100" w:type="dxa"/>
              <w:left w:w="100" w:type="dxa"/>
              <w:bottom w:w="100" w:type="dxa"/>
              <w:right w:w="100" w:type="dxa"/>
            </w:tcMar>
          </w:tcPr>
          <w:p w14:paraId="6ED4BB7A" w14:textId="77777777" w:rsidR="00CC6907" w:rsidRDefault="00CC6907" w:rsidP="00AD7686">
            <w:pPr>
              <w:widowControl w:val="0"/>
              <w:pBdr>
                <w:top w:val="nil"/>
                <w:left w:val="nil"/>
                <w:bottom w:val="nil"/>
                <w:right w:val="nil"/>
                <w:between w:val="nil"/>
              </w:pBdr>
              <w:spacing w:line="240" w:lineRule="auto"/>
              <w:jc w:val="center"/>
              <w:rPr>
                <w:b/>
                <w:bCs/>
              </w:rPr>
            </w:pPr>
          </w:p>
          <w:p w14:paraId="72293306" w14:textId="77777777" w:rsidR="00CC6907" w:rsidRDefault="00000000" w:rsidP="00AD7686">
            <w:pPr>
              <w:widowControl w:val="0"/>
              <w:pBdr>
                <w:top w:val="nil"/>
                <w:left w:val="nil"/>
                <w:bottom w:val="nil"/>
                <w:right w:val="nil"/>
                <w:between w:val="nil"/>
              </w:pBdr>
              <w:spacing w:line="240" w:lineRule="auto"/>
              <w:jc w:val="center"/>
              <w:rPr>
                <w:b/>
                <w:bCs/>
              </w:rPr>
            </w:pPr>
            <w:r>
              <w:rPr>
                <w:b/>
                <w:bCs/>
              </w:rPr>
              <w:t>n</w:t>
            </w:r>
          </w:p>
        </w:tc>
        <w:tc>
          <w:tcPr>
            <w:tcW w:w="4559" w:type="dxa"/>
            <w:tcMar>
              <w:top w:w="100" w:type="dxa"/>
              <w:left w:w="100" w:type="dxa"/>
              <w:bottom w:w="100" w:type="dxa"/>
              <w:right w:w="100" w:type="dxa"/>
            </w:tcMar>
          </w:tcPr>
          <w:p w14:paraId="31976930" w14:textId="77777777" w:rsidR="00CC6907" w:rsidRDefault="00000000" w:rsidP="00AD7686">
            <w:pPr>
              <w:widowControl w:val="0"/>
              <w:spacing w:before="240" w:after="240" w:line="240" w:lineRule="auto"/>
              <w:jc w:val="center"/>
              <w:rPr>
                <w:b/>
                <w:bCs/>
              </w:rPr>
            </w:pPr>
            <w:r>
              <w:rPr>
                <w:b/>
                <w:bCs/>
              </w:rPr>
              <w:t>Mean ± SD</w:t>
            </w:r>
          </w:p>
        </w:tc>
      </w:tr>
      <w:tr w:rsidR="00CC6907" w14:paraId="65C14535" w14:textId="77777777" w:rsidTr="00AD7686">
        <w:trPr>
          <w:trHeight w:val="20"/>
          <w:jc w:val="center"/>
        </w:trPr>
        <w:tc>
          <w:tcPr>
            <w:tcW w:w="2655" w:type="dxa"/>
            <w:tcMar>
              <w:top w:w="100" w:type="dxa"/>
              <w:left w:w="100" w:type="dxa"/>
              <w:bottom w:w="100" w:type="dxa"/>
              <w:right w:w="100" w:type="dxa"/>
            </w:tcMar>
          </w:tcPr>
          <w:p w14:paraId="78347ECF" w14:textId="77777777" w:rsidR="00CC6907" w:rsidRDefault="00000000" w:rsidP="00AD7686">
            <w:pPr>
              <w:widowControl w:val="0"/>
              <w:pBdr>
                <w:top w:val="nil"/>
                <w:left w:val="nil"/>
                <w:bottom w:val="nil"/>
                <w:right w:val="nil"/>
                <w:between w:val="nil"/>
              </w:pBdr>
              <w:spacing w:line="240" w:lineRule="auto"/>
              <w:jc w:val="center"/>
            </w:pPr>
            <w:r>
              <w:t>UG MBBS First year</w:t>
            </w:r>
          </w:p>
        </w:tc>
        <w:tc>
          <w:tcPr>
            <w:tcW w:w="1815" w:type="dxa"/>
            <w:tcMar>
              <w:top w:w="100" w:type="dxa"/>
              <w:left w:w="100" w:type="dxa"/>
              <w:bottom w:w="100" w:type="dxa"/>
              <w:right w:w="100" w:type="dxa"/>
            </w:tcMar>
          </w:tcPr>
          <w:p w14:paraId="10F1CD0E" w14:textId="77777777" w:rsidR="00CC6907" w:rsidRDefault="00000000" w:rsidP="00AD7686">
            <w:pPr>
              <w:widowControl w:val="0"/>
              <w:pBdr>
                <w:top w:val="nil"/>
                <w:left w:val="nil"/>
                <w:bottom w:val="nil"/>
                <w:right w:val="nil"/>
                <w:between w:val="nil"/>
              </w:pBdr>
              <w:spacing w:line="240" w:lineRule="auto"/>
              <w:jc w:val="center"/>
            </w:pPr>
            <w:r>
              <w:t>146</w:t>
            </w:r>
          </w:p>
        </w:tc>
        <w:tc>
          <w:tcPr>
            <w:tcW w:w="4559" w:type="dxa"/>
            <w:tcMar>
              <w:top w:w="100" w:type="dxa"/>
              <w:left w:w="100" w:type="dxa"/>
              <w:bottom w:w="100" w:type="dxa"/>
              <w:right w:w="100" w:type="dxa"/>
            </w:tcMar>
          </w:tcPr>
          <w:p w14:paraId="27543D52" w14:textId="77777777" w:rsidR="00CC6907" w:rsidRDefault="00000000" w:rsidP="00AD7686">
            <w:pPr>
              <w:widowControl w:val="0"/>
              <w:pBdr>
                <w:top w:val="nil"/>
                <w:left w:val="nil"/>
                <w:bottom w:val="nil"/>
                <w:right w:val="nil"/>
                <w:between w:val="nil"/>
              </w:pBdr>
              <w:spacing w:line="240" w:lineRule="auto"/>
              <w:jc w:val="center"/>
            </w:pPr>
            <w:r>
              <w:t>7.00 ± 2.5</w:t>
            </w:r>
          </w:p>
        </w:tc>
      </w:tr>
      <w:tr w:rsidR="00CC6907" w14:paraId="65655B9B" w14:textId="77777777" w:rsidTr="00AD7686">
        <w:trPr>
          <w:trHeight w:val="20"/>
          <w:jc w:val="center"/>
        </w:trPr>
        <w:tc>
          <w:tcPr>
            <w:tcW w:w="2655" w:type="dxa"/>
            <w:tcMar>
              <w:top w:w="100" w:type="dxa"/>
              <w:left w:w="100" w:type="dxa"/>
              <w:bottom w:w="100" w:type="dxa"/>
              <w:right w:w="100" w:type="dxa"/>
            </w:tcMar>
          </w:tcPr>
          <w:p w14:paraId="4288FAF7" w14:textId="77777777" w:rsidR="00CC6907" w:rsidRDefault="00000000" w:rsidP="00AD7686">
            <w:pPr>
              <w:widowControl w:val="0"/>
              <w:spacing w:line="240" w:lineRule="auto"/>
              <w:jc w:val="center"/>
            </w:pPr>
            <w:r>
              <w:t>UG MBBS second year</w:t>
            </w:r>
          </w:p>
        </w:tc>
        <w:tc>
          <w:tcPr>
            <w:tcW w:w="1815" w:type="dxa"/>
            <w:tcMar>
              <w:top w:w="100" w:type="dxa"/>
              <w:left w:w="100" w:type="dxa"/>
              <w:bottom w:w="100" w:type="dxa"/>
              <w:right w:w="100" w:type="dxa"/>
            </w:tcMar>
          </w:tcPr>
          <w:p w14:paraId="1C10A11C" w14:textId="77777777" w:rsidR="00CC6907" w:rsidRDefault="00000000" w:rsidP="00AD7686">
            <w:pPr>
              <w:widowControl w:val="0"/>
              <w:pBdr>
                <w:top w:val="nil"/>
                <w:left w:val="nil"/>
                <w:bottom w:val="nil"/>
                <w:right w:val="nil"/>
                <w:between w:val="nil"/>
              </w:pBdr>
              <w:spacing w:line="240" w:lineRule="auto"/>
              <w:jc w:val="center"/>
            </w:pPr>
            <w:r>
              <w:t>133</w:t>
            </w:r>
          </w:p>
        </w:tc>
        <w:tc>
          <w:tcPr>
            <w:tcW w:w="4559" w:type="dxa"/>
            <w:tcMar>
              <w:top w:w="100" w:type="dxa"/>
              <w:left w:w="100" w:type="dxa"/>
              <w:bottom w:w="100" w:type="dxa"/>
              <w:right w:w="100" w:type="dxa"/>
            </w:tcMar>
          </w:tcPr>
          <w:p w14:paraId="45017EAC" w14:textId="77777777" w:rsidR="00CC6907" w:rsidRDefault="00000000" w:rsidP="00AD7686">
            <w:pPr>
              <w:widowControl w:val="0"/>
              <w:pBdr>
                <w:top w:val="nil"/>
                <w:left w:val="nil"/>
                <w:bottom w:val="nil"/>
                <w:right w:val="nil"/>
                <w:between w:val="nil"/>
              </w:pBdr>
              <w:spacing w:line="240" w:lineRule="auto"/>
              <w:jc w:val="center"/>
            </w:pPr>
            <w:r>
              <w:t>8.00 ± 2.6</w:t>
            </w:r>
          </w:p>
        </w:tc>
      </w:tr>
      <w:tr w:rsidR="00CC6907" w14:paraId="3C55AF6F" w14:textId="77777777" w:rsidTr="00AD7686">
        <w:trPr>
          <w:trHeight w:val="20"/>
          <w:jc w:val="center"/>
        </w:trPr>
        <w:tc>
          <w:tcPr>
            <w:tcW w:w="2655" w:type="dxa"/>
            <w:tcMar>
              <w:top w:w="100" w:type="dxa"/>
              <w:left w:w="100" w:type="dxa"/>
              <w:bottom w:w="100" w:type="dxa"/>
              <w:right w:w="100" w:type="dxa"/>
            </w:tcMar>
          </w:tcPr>
          <w:p w14:paraId="7C784250" w14:textId="77777777" w:rsidR="00CC6907" w:rsidRDefault="00000000" w:rsidP="00AD7686">
            <w:pPr>
              <w:widowControl w:val="0"/>
              <w:spacing w:line="240" w:lineRule="auto"/>
              <w:jc w:val="center"/>
            </w:pPr>
            <w:r>
              <w:t>UG MBBS third year</w:t>
            </w:r>
          </w:p>
        </w:tc>
        <w:tc>
          <w:tcPr>
            <w:tcW w:w="1815" w:type="dxa"/>
            <w:tcMar>
              <w:top w:w="100" w:type="dxa"/>
              <w:left w:w="100" w:type="dxa"/>
              <w:bottom w:w="100" w:type="dxa"/>
              <w:right w:w="100" w:type="dxa"/>
            </w:tcMar>
          </w:tcPr>
          <w:p w14:paraId="2C9504AE" w14:textId="77777777" w:rsidR="00CC6907" w:rsidRDefault="00000000" w:rsidP="00AD7686">
            <w:pPr>
              <w:widowControl w:val="0"/>
              <w:pBdr>
                <w:top w:val="nil"/>
                <w:left w:val="nil"/>
                <w:bottom w:val="nil"/>
                <w:right w:val="nil"/>
                <w:between w:val="nil"/>
              </w:pBdr>
              <w:spacing w:line="240" w:lineRule="auto"/>
              <w:jc w:val="center"/>
            </w:pPr>
            <w:r>
              <w:t>116</w:t>
            </w:r>
          </w:p>
        </w:tc>
        <w:tc>
          <w:tcPr>
            <w:tcW w:w="4559" w:type="dxa"/>
            <w:tcMar>
              <w:top w:w="100" w:type="dxa"/>
              <w:left w:w="100" w:type="dxa"/>
              <w:bottom w:w="100" w:type="dxa"/>
              <w:right w:w="100" w:type="dxa"/>
            </w:tcMar>
          </w:tcPr>
          <w:p w14:paraId="6BE14660" w14:textId="77777777" w:rsidR="00CC6907" w:rsidRDefault="00000000" w:rsidP="00AD7686">
            <w:pPr>
              <w:widowControl w:val="0"/>
              <w:pBdr>
                <w:top w:val="nil"/>
                <w:left w:val="nil"/>
                <w:bottom w:val="nil"/>
                <w:right w:val="nil"/>
                <w:between w:val="nil"/>
              </w:pBdr>
              <w:spacing w:line="240" w:lineRule="auto"/>
              <w:jc w:val="center"/>
            </w:pPr>
            <w:r>
              <w:t>10.00 ± 2.54</w:t>
            </w:r>
          </w:p>
        </w:tc>
      </w:tr>
      <w:tr w:rsidR="00CC6907" w14:paraId="5C81EFC0" w14:textId="77777777" w:rsidTr="00AD7686">
        <w:trPr>
          <w:trHeight w:val="20"/>
          <w:jc w:val="center"/>
        </w:trPr>
        <w:tc>
          <w:tcPr>
            <w:tcW w:w="2655" w:type="dxa"/>
            <w:tcMar>
              <w:top w:w="100" w:type="dxa"/>
              <w:left w:w="100" w:type="dxa"/>
              <w:bottom w:w="100" w:type="dxa"/>
              <w:right w:w="100" w:type="dxa"/>
            </w:tcMar>
          </w:tcPr>
          <w:p w14:paraId="3E381828" w14:textId="77777777" w:rsidR="00CC6907" w:rsidRDefault="00000000" w:rsidP="00AD7686">
            <w:pPr>
              <w:widowControl w:val="0"/>
              <w:spacing w:line="240" w:lineRule="auto"/>
              <w:jc w:val="center"/>
            </w:pPr>
            <w:r>
              <w:t>UG MBBS fourth year</w:t>
            </w:r>
          </w:p>
        </w:tc>
        <w:tc>
          <w:tcPr>
            <w:tcW w:w="1815" w:type="dxa"/>
            <w:tcMar>
              <w:top w:w="100" w:type="dxa"/>
              <w:left w:w="100" w:type="dxa"/>
              <w:bottom w:w="100" w:type="dxa"/>
              <w:right w:w="100" w:type="dxa"/>
            </w:tcMar>
          </w:tcPr>
          <w:p w14:paraId="0903806A" w14:textId="77777777" w:rsidR="00CC6907" w:rsidRDefault="00000000" w:rsidP="00AD7686">
            <w:pPr>
              <w:widowControl w:val="0"/>
              <w:pBdr>
                <w:top w:val="nil"/>
                <w:left w:val="nil"/>
                <w:bottom w:val="nil"/>
                <w:right w:val="nil"/>
                <w:between w:val="nil"/>
              </w:pBdr>
              <w:spacing w:line="240" w:lineRule="auto"/>
              <w:jc w:val="center"/>
            </w:pPr>
            <w:r>
              <w:t>121</w:t>
            </w:r>
          </w:p>
        </w:tc>
        <w:tc>
          <w:tcPr>
            <w:tcW w:w="4559" w:type="dxa"/>
            <w:tcMar>
              <w:top w:w="100" w:type="dxa"/>
              <w:left w:w="100" w:type="dxa"/>
              <w:bottom w:w="100" w:type="dxa"/>
              <w:right w:w="100" w:type="dxa"/>
            </w:tcMar>
          </w:tcPr>
          <w:p w14:paraId="666219BA" w14:textId="77777777" w:rsidR="00CC6907" w:rsidRDefault="00000000" w:rsidP="00AD7686">
            <w:pPr>
              <w:widowControl w:val="0"/>
              <w:pBdr>
                <w:top w:val="nil"/>
                <w:left w:val="nil"/>
                <w:bottom w:val="nil"/>
                <w:right w:val="nil"/>
                <w:between w:val="nil"/>
              </w:pBdr>
              <w:spacing w:line="240" w:lineRule="auto"/>
              <w:jc w:val="center"/>
            </w:pPr>
            <w:r>
              <w:t>10.00 ± 2.3</w:t>
            </w:r>
          </w:p>
        </w:tc>
      </w:tr>
      <w:tr w:rsidR="00CC6907" w14:paraId="3F96305E" w14:textId="77777777" w:rsidTr="00AD7686">
        <w:trPr>
          <w:trHeight w:val="20"/>
          <w:jc w:val="center"/>
        </w:trPr>
        <w:tc>
          <w:tcPr>
            <w:tcW w:w="2655" w:type="dxa"/>
            <w:tcMar>
              <w:top w:w="100" w:type="dxa"/>
              <w:left w:w="100" w:type="dxa"/>
              <w:bottom w:w="100" w:type="dxa"/>
              <w:right w:w="100" w:type="dxa"/>
            </w:tcMar>
          </w:tcPr>
          <w:p w14:paraId="7FD78A43" w14:textId="77777777" w:rsidR="00CC6907" w:rsidRDefault="00000000" w:rsidP="00AD7686">
            <w:pPr>
              <w:widowControl w:val="0"/>
              <w:pBdr>
                <w:top w:val="nil"/>
                <w:left w:val="nil"/>
                <w:bottom w:val="nil"/>
                <w:right w:val="nil"/>
                <w:between w:val="nil"/>
              </w:pBdr>
              <w:spacing w:line="240" w:lineRule="auto"/>
              <w:jc w:val="center"/>
            </w:pPr>
            <w:r>
              <w:t>Internees</w:t>
            </w:r>
          </w:p>
        </w:tc>
        <w:tc>
          <w:tcPr>
            <w:tcW w:w="1815" w:type="dxa"/>
            <w:tcMar>
              <w:top w:w="100" w:type="dxa"/>
              <w:left w:w="100" w:type="dxa"/>
              <w:bottom w:w="100" w:type="dxa"/>
              <w:right w:w="100" w:type="dxa"/>
            </w:tcMar>
          </w:tcPr>
          <w:p w14:paraId="0AE033AA" w14:textId="77777777" w:rsidR="00CC6907" w:rsidRDefault="00000000" w:rsidP="00AD7686">
            <w:pPr>
              <w:widowControl w:val="0"/>
              <w:pBdr>
                <w:top w:val="nil"/>
                <w:left w:val="nil"/>
                <w:bottom w:val="nil"/>
                <w:right w:val="nil"/>
                <w:between w:val="nil"/>
              </w:pBdr>
              <w:spacing w:line="240" w:lineRule="auto"/>
              <w:jc w:val="center"/>
            </w:pPr>
            <w:r>
              <w:t>86</w:t>
            </w:r>
          </w:p>
        </w:tc>
        <w:tc>
          <w:tcPr>
            <w:tcW w:w="4559" w:type="dxa"/>
            <w:tcMar>
              <w:top w:w="100" w:type="dxa"/>
              <w:left w:w="100" w:type="dxa"/>
              <w:bottom w:w="100" w:type="dxa"/>
              <w:right w:w="100" w:type="dxa"/>
            </w:tcMar>
          </w:tcPr>
          <w:p w14:paraId="562AB608" w14:textId="77777777" w:rsidR="00CC6907" w:rsidRDefault="00000000" w:rsidP="00AD7686">
            <w:pPr>
              <w:widowControl w:val="0"/>
              <w:pBdr>
                <w:top w:val="nil"/>
                <w:left w:val="nil"/>
                <w:bottom w:val="nil"/>
                <w:right w:val="nil"/>
                <w:between w:val="nil"/>
              </w:pBdr>
              <w:spacing w:line="240" w:lineRule="auto"/>
              <w:jc w:val="center"/>
            </w:pPr>
            <w:r>
              <w:t>10.00 ± 2.4</w:t>
            </w:r>
          </w:p>
        </w:tc>
      </w:tr>
      <w:tr w:rsidR="00CC6907" w14:paraId="059F264F" w14:textId="77777777" w:rsidTr="00AD7686">
        <w:trPr>
          <w:trHeight w:val="20"/>
          <w:jc w:val="center"/>
        </w:trPr>
        <w:tc>
          <w:tcPr>
            <w:tcW w:w="2655" w:type="dxa"/>
            <w:tcMar>
              <w:top w:w="100" w:type="dxa"/>
              <w:left w:w="100" w:type="dxa"/>
              <w:bottom w:w="100" w:type="dxa"/>
              <w:right w:w="100" w:type="dxa"/>
            </w:tcMar>
          </w:tcPr>
          <w:p w14:paraId="7FCA495B" w14:textId="77777777" w:rsidR="00CC6907" w:rsidRDefault="00000000" w:rsidP="00AD7686">
            <w:pPr>
              <w:widowControl w:val="0"/>
              <w:pBdr>
                <w:top w:val="nil"/>
                <w:left w:val="nil"/>
                <w:bottom w:val="nil"/>
                <w:right w:val="nil"/>
                <w:between w:val="nil"/>
              </w:pBdr>
              <w:spacing w:line="240" w:lineRule="auto"/>
              <w:jc w:val="center"/>
            </w:pPr>
            <w:r>
              <w:t xml:space="preserve">Post graduates </w:t>
            </w:r>
          </w:p>
        </w:tc>
        <w:tc>
          <w:tcPr>
            <w:tcW w:w="1815" w:type="dxa"/>
            <w:tcMar>
              <w:top w:w="100" w:type="dxa"/>
              <w:left w:w="100" w:type="dxa"/>
              <w:bottom w:w="100" w:type="dxa"/>
              <w:right w:w="100" w:type="dxa"/>
            </w:tcMar>
          </w:tcPr>
          <w:p w14:paraId="0E6D25A4" w14:textId="77777777" w:rsidR="00CC6907" w:rsidRDefault="00000000" w:rsidP="00AD7686">
            <w:pPr>
              <w:widowControl w:val="0"/>
              <w:pBdr>
                <w:top w:val="nil"/>
                <w:left w:val="nil"/>
                <w:bottom w:val="nil"/>
                <w:right w:val="nil"/>
                <w:between w:val="nil"/>
              </w:pBdr>
              <w:spacing w:line="240" w:lineRule="auto"/>
              <w:jc w:val="center"/>
            </w:pPr>
            <w:r>
              <w:t>60</w:t>
            </w:r>
          </w:p>
        </w:tc>
        <w:tc>
          <w:tcPr>
            <w:tcW w:w="4559" w:type="dxa"/>
            <w:tcMar>
              <w:top w:w="100" w:type="dxa"/>
              <w:left w:w="100" w:type="dxa"/>
              <w:bottom w:w="100" w:type="dxa"/>
              <w:right w:w="100" w:type="dxa"/>
            </w:tcMar>
          </w:tcPr>
          <w:p w14:paraId="0C49C88B" w14:textId="77777777" w:rsidR="00CC6907" w:rsidRDefault="00000000" w:rsidP="00AD7686">
            <w:pPr>
              <w:widowControl w:val="0"/>
              <w:pBdr>
                <w:top w:val="nil"/>
                <w:left w:val="nil"/>
                <w:bottom w:val="nil"/>
                <w:right w:val="nil"/>
                <w:between w:val="nil"/>
              </w:pBdr>
              <w:spacing w:line="240" w:lineRule="auto"/>
              <w:jc w:val="center"/>
            </w:pPr>
            <w:r>
              <w:t>11.00 ± 2.3</w:t>
            </w:r>
          </w:p>
        </w:tc>
      </w:tr>
      <w:tr w:rsidR="00CC6907" w14:paraId="402B2162" w14:textId="77777777" w:rsidTr="00AD7686">
        <w:trPr>
          <w:trHeight w:val="20"/>
          <w:jc w:val="center"/>
        </w:trPr>
        <w:tc>
          <w:tcPr>
            <w:tcW w:w="2655" w:type="dxa"/>
            <w:tcMar>
              <w:top w:w="100" w:type="dxa"/>
              <w:left w:w="100" w:type="dxa"/>
              <w:bottom w:w="100" w:type="dxa"/>
              <w:right w:w="100" w:type="dxa"/>
            </w:tcMar>
          </w:tcPr>
          <w:p w14:paraId="458D65D0" w14:textId="77777777" w:rsidR="00CC6907" w:rsidRDefault="00000000" w:rsidP="00AD7686">
            <w:pPr>
              <w:widowControl w:val="0"/>
              <w:pBdr>
                <w:top w:val="nil"/>
                <w:left w:val="nil"/>
                <w:bottom w:val="nil"/>
                <w:right w:val="nil"/>
                <w:between w:val="nil"/>
              </w:pBdr>
              <w:spacing w:line="240" w:lineRule="auto"/>
              <w:jc w:val="center"/>
            </w:pPr>
            <w:r>
              <w:lastRenderedPageBreak/>
              <w:t>Overall</w:t>
            </w:r>
          </w:p>
        </w:tc>
        <w:tc>
          <w:tcPr>
            <w:tcW w:w="1815" w:type="dxa"/>
            <w:tcMar>
              <w:top w:w="100" w:type="dxa"/>
              <w:left w:w="100" w:type="dxa"/>
              <w:bottom w:w="100" w:type="dxa"/>
              <w:right w:w="100" w:type="dxa"/>
            </w:tcMar>
          </w:tcPr>
          <w:p w14:paraId="5C87B07B" w14:textId="77777777" w:rsidR="00CC6907" w:rsidRDefault="00000000" w:rsidP="00AD7686">
            <w:pPr>
              <w:widowControl w:val="0"/>
              <w:pBdr>
                <w:top w:val="nil"/>
                <w:left w:val="nil"/>
                <w:bottom w:val="nil"/>
                <w:right w:val="nil"/>
                <w:between w:val="nil"/>
              </w:pBdr>
              <w:spacing w:line="240" w:lineRule="auto"/>
              <w:jc w:val="center"/>
            </w:pPr>
            <w:r>
              <w:t>662</w:t>
            </w:r>
          </w:p>
        </w:tc>
        <w:tc>
          <w:tcPr>
            <w:tcW w:w="4559" w:type="dxa"/>
            <w:tcMar>
              <w:top w:w="100" w:type="dxa"/>
              <w:left w:w="100" w:type="dxa"/>
              <w:bottom w:w="100" w:type="dxa"/>
              <w:right w:w="100" w:type="dxa"/>
            </w:tcMar>
          </w:tcPr>
          <w:p w14:paraId="5C8A494E" w14:textId="77777777" w:rsidR="00CC6907" w:rsidRDefault="00000000" w:rsidP="00AD7686">
            <w:pPr>
              <w:widowControl w:val="0"/>
              <w:pBdr>
                <w:top w:val="nil"/>
                <w:left w:val="nil"/>
                <w:bottom w:val="nil"/>
                <w:right w:val="nil"/>
                <w:between w:val="nil"/>
              </w:pBdr>
              <w:spacing w:line="240" w:lineRule="auto"/>
              <w:jc w:val="center"/>
            </w:pPr>
            <w:r>
              <w:t>9.01 ± 2.82</w:t>
            </w:r>
          </w:p>
        </w:tc>
      </w:tr>
    </w:tbl>
    <w:p w14:paraId="51AC8398" w14:textId="77777777" w:rsidR="00CC6907" w:rsidRDefault="00CC6907" w:rsidP="00AD7686">
      <w:pPr>
        <w:spacing w:line="240" w:lineRule="auto"/>
      </w:pPr>
    </w:p>
    <w:tbl>
      <w:tblPr>
        <w:tblStyle w:val="a3"/>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C6907" w14:paraId="55633C1A" w14:textId="77777777" w:rsidTr="00AD7686">
        <w:trPr>
          <w:jc w:val="center"/>
        </w:trPr>
        <w:tc>
          <w:tcPr>
            <w:tcW w:w="4514" w:type="dxa"/>
            <w:tcMar>
              <w:top w:w="100" w:type="dxa"/>
              <w:left w:w="100" w:type="dxa"/>
              <w:bottom w:w="100" w:type="dxa"/>
              <w:right w:w="100" w:type="dxa"/>
            </w:tcMar>
          </w:tcPr>
          <w:p w14:paraId="624133A3" w14:textId="77777777" w:rsidR="00CC6907" w:rsidRDefault="00000000" w:rsidP="00AD7686">
            <w:pPr>
              <w:widowControl w:val="0"/>
              <w:pBdr>
                <w:top w:val="nil"/>
                <w:left w:val="nil"/>
                <w:bottom w:val="nil"/>
                <w:right w:val="nil"/>
                <w:between w:val="nil"/>
              </w:pBdr>
              <w:spacing w:line="240" w:lineRule="auto"/>
              <w:jc w:val="center"/>
            </w:pPr>
            <w:r>
              <w:t>Overall Score</w:t>
            </w:r>
          </w:p>
        </w:tc>
        <w:tc>
          <w:tcPr>
            <w:tcW w:w="4515" w:type="dxa"/>
            <w:tcMar>
              <w:top w:w="100" w:type="dxa"/>
              <w:left w:w="100" w:type="dxa"/>
              <w:bottom w:w="100" w:type="dxa"/>
              <w:right w:w="100" w:type="dxa"/>
            </w:tcMar>
          </w:tcPr>
          <w:p w14:paraId="7A66D0BF" w14:textId="77777777" w:rsidR="00CC6907" w:rsidRDefault="00000000" w:rsidP="00AD7686">
            <w:pPr>
              <w:widowControl w:val="0"/>
              <w:pBdr>
                <w:top w:val="nil"/>
                <w:left w:val="nil"/>
                <w:bottom w:val="nil"/>
                <w:right w:val="nil"/>
                <w:between w:val="nil"/>
              </w:pBdr>
              <w:spacing w:line="240" w:lineRule="auto"/>
              <w:jc w:val="center"/>
            </w:pPr>
            <w:r>
              <w:t>Knowledge level</w:t>
            </w:r>
          </w:p>
        </w:tc>
      </w:tr>
      <w:tr w:rsidR="00CC6907" w14:paraId="4F154731" w14:textId="77777777" w:rsidTr="00AD7686">
        <w:trPr>
          <w:jc w:val="center"/>
        </w:trPr>
        <w:tc>
          <w:tcPr>
            <w:tcW w:w="4514" w:type="dxa"/>
            <w:tcMar>
              <w:top w:w="100" w:type="dxa"/>
              <w:left w:w="100" w:type="dxa"/>
              <w:bottom w:w="100" w:type="dxa"/>
              <w:right w:w="100" w:type="dxa"/>
            </w:tcMar>
          </w:tcPr>
          <w:p w14:paraId="5B059014" w14:textId="77777777" w:rsidR="00CC6907" w:rsidRDefault="00000000" w:rsidP="00AD7686">
            <w:pPr>
              <w:widowControl w:val="0"/>
              <w:pBdr>
                <w:top w:val="nil"/>
                <w:left w:val="nil"/>
                <w:bottom w:val="nil"/>
                <w:right w:val="nil"/>
                <w:between w:val="nil"/>
              </w:pBdr>
              <w:spacing w:line="240" w:lineRule="auto"/>
              <w:jc w:val="center"/>
            </w:pPr>
            <w:r>
              <w:t>&lt;5</w:t>
            </w:r>
          </w:p>
        </w:tc>
        <w:tc>
          <w:tcPr>
            <w:tcW w:w="4515" w:type="dxa"/>
            <w:tcMar>
              <w:top w:w="100" w:type="dxa"/>
              <w:left w:w="100" w:type="dxa"/>
              <w:bottom w:w="100" w:type="dxa"/>
              <w:right w:w="100" w:type="dxa"/>
            </w:tcMar>
          </w:tcPr>
          <w:p w14:paraId="7F7538E9" w14:textId="77777777" w:rsidR="00CC6907" w:rsidRDefault="00000000" w:rsidP="00AD7686">
            <w:pPr>
              <w:widowControl w:val="0"/>
              <w:pBdr>
                <w:top w:val="nil"/>
                <w:left w:val="nil"/>
                <w:bottom w:val="nil"/>
                <w:right w:val="nil"/>
                <w:between w:val="nil"/>
              </w:pBdr>
              <w:spacing w:line="240" w:lineRule="auto"/>
              <w:jc w:val="center"/>
            </w:pPr>
            <w:r>
              <w:t>Low</w:t>
            </w:r>
          </w:p>
        </w:tc>
      </w:tr>
      <w:tr w:rsidR="00CC6907" w14:paraId="703CA77D" w14:textId="77777777" w:rsidTr="00AD7686">
        <w:trPr>
          <w:jc w:val="center"/>
        </w:trPr>
        <w:tc>
          <w:tcPr>
            <w:tcW w:w="4514" w:type="dxa"/>
            <w:tcMar>
              <w:top w:w="100" w:type="dxa"/>
              <w:left w:w="100" w:type="dxa"/>
              <w:bottom w:w="100" w:type="dxa"/>
              <w:right w:w="100" w:type="dxa"/>
            </w:tcMar>
          </w:tcPr>
          <w:p w14:paraId="7E590913" w14:textId="77777777" w:rsidR="00CC6907" w:rsidRDefault="00000000" w:rsidP="00AD7686">
            <w:pPr>
              <w:widowControl w:val="0"/>
              <w:pBdr>
                <w:top w:val="nil"/>
                <w:left w:val="nil"/>
                <w:bottom w:val="nil"/>
                <w:right w:val="nil"/>
                <w:between w:val="nil"/>
              </w:pBdr>
              <w:spacing w:line="240" w:lineRule="auto"/>
              <w:jc w:val="center"/>
            </w:pPr>
            <w:r>
              <w:t xml:space="preserve"> 5-10</w:t>
            </w:r>
          </w:p>
        </w:tc>
        <w:tc>
          <w:tcPr>
            <w:tcW w:w="4515" w:type="dxa"/>
            <w:tcMar>
              <w:top w:w="100" w:type="dxa"/>
              <w:left w:w="100" w:type="dxa"/>
              <w:bottom w:w="100" w:type="dxa"/>
              <w:right w:w="100" w:type="dxa"/>
            </w:tcMar>
          </w:tcPr>
          <w:p w14:paraId="38BE1BC8" w14:textId="77777777" w:rsidR="00CC6907" w:rsidRDefault="00000000" w:rsidP="00AD7686">
            <w:pPr>
              <w:widowControl w:val="0"/>
              <w:pBdr>
                <w:top w:val="nil"/>
                <w:left w:val="nil"/>
                <w:bottom w:val="nil"/>
                <w:right w:val="nil"/>
                <w:between w:val="nil"/>
              </w:pBdr>
              <w:spacing w:line="240" w:lineRule="auto"/>
              <w:jc w:val="center"/>
            </w:pPr>
            <w:r>
              <w:t>Moderate</w:t>
            </w:r>
          </w:p>
        </w:tc>
      </w:tr>
      <w:tr w:rsidR="00CC6907" w14:paraId="7D136B0A" w14:textId="77777777" w:rsidTr="00AD7686">
        <w:trPr>
          <w:jc w:val="center"/>
        </w:trPr>
        <w:tc>
          <w:tcPr>
            <w:tcW w:w="4514" w:type="dxa"/>
            <w:tcMar>
              <w:top w:w="100" w:type="dxa"/>
              <w:left w:w="100" w:type="dxa"/>
              <w:bottom w:w="100" w:type="dxa"/>
              <w:right w:w="100" w:type="dxa"/>
            </w:tcMar>
          </w:tcPr>
          <w:p w14:paraId="61F24C76" w14:textId="77777777" w:rsidR="00CC6907" w:rsidRDefault="00000000" w:rsidP="00AD7686">
            <w:pPr>
              <w:widowControl w:val="0"/>
              <w:pBdr>
                <w:top w:val="nil"/>
                <w:left w:val="nil"/>
                <w:bottom w:val="nil"/>
                <w:right w:val="nil"/>
                <w:between w:val="nil"/>
              </w:pBdr>
              <w:spacing w:line="240" w:lineRule="auto"/>
              <w:jc w:val="center"/>
            </w:pPr>
            <w:r>
              <w:t>&gt;10</w:t>
            </w:r>
          </w:p>
        </w:tc>
        <w:tc>
          <w:tcPr>
            <w:tcW w:w="4515" w:type="dxa"/>
            <w:tcMar>
              <w:top w:w="100" w:type="dxa"/>
              <w:left w:w="100" w:type="dxa"/>
              <w:bottom w:w="100" w:type="dxa"/>
              <w:right w:w="100" w:type="dxa"/>
            </w:tcMar>
          </w:tcPr>
          <w:p w14:paraId="276C33FE" w14:textId="77777777" w:rsidR="00CC6907" w:rsidRDefault="00000000" w:rsidP="00AD7686">
            <w:pPr>
              <w:widowControl w:val="0"/>
              <w:pBdr>
                <w:top w:val="nil"/>
                <w:left w:val="nil"/>
                <w:bottom w:val="nil"/>
                <w:right w:val="nil"/>
                <w:between w:val="nil"/>
              </w:pBdr>
              <w:spacing w:line="240" w:lineRule="auto"/>
              <w:jc w:val="center"/>
            </w:pPr>
            <w:r>
              <w:t>High</w:t>
            </w:r>
          </w:p>
        </w:tc>
      </w:tr>
    </w:tbl>
    <w:p w14:paraId="6CFE61AE" w14:textId="77777777" w:rsidR="00CC6907" w:rsidRDefault="00CC6907" w:rsidP="00AD7686">
      <w:pPr>
        <w:spacing w:line="240" w:lineRule="auto"/>
      </w:pPr>
    </w:p>
    <w:p w14:paraId="75F64492" w14:textId="77777777" w:rsidR="00CC6907"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The overall mean knowledge score was 9.01 ± 2.82 out of 16 (56.3%; 95% CI for mean: 8.80–9.22). Scores increased progressively with academic year. One-way ANOVA revealed significant differences across years (F = 48.15, p &lt; 0.0001). Post-hoc Tukey HSD confirmed first 9and second-year students scored significantly lower than later years, while postgraduates scored highest (p &lt; 0.01 for relevant pairs).</w:t>
      </w:r>
    </w:p>
    <w:p w14:paraId="03B198B1" w14:textId="77777777" w:rsidR="00CC6907" w:rsidRDefault="00000000">
      <w:pPr>
        <w:spacing w:after="0" w:line="240" w:lineRule="auto"/>
        <w:jc w:val="both"/>
        <w:rPr>
          <w:rFonts w:ascii="Times New Roman" w:eastAsia="Times New Roman" w:hAnsi="Times New Roman" w:cs="Times New Roman"/>
          <w:sz w:val="20"/>
          <w:szCs w:val="20"/>
        </w:rPr>
      </w:pPr>
      <w:sdt>
        <w:sdtPr>
          <w:tag w:val="goog_rdk_0"/>
          <w:id w:val="1400255829"/>
        </w:sdtPr>
        <w:sdtContent>
          <w:r>
            <w:rPr>
              <w:rFonts w:ascii="Cardo" w:eastAsia="Cardo" w:hAnsi="Cardo" w:cs="Cardo"/>
              <w:sz w:val="20"/>
              <w:szCs w:val="20"/>
            </w:rPr>
            <w:t xml:space="preserve">Awareness of antimicrobial stewardship </w:t>
          </w:r>
          <w:proofErr w:type="spellStart"/>
          <w:r>
            <w:rPr>
              <w:rFonts w:ascii="Cardo" w:eastAsia="Cardo" w:hAnsi="Cardo" w:cs="Cardo"/>
              <w:sz w:val="20"/>
              <w:szCs w:val="20"/>
            </w:rPr>
            <w:t>programmes</w:t>
          </w:r>
          <w:proofErr w:type="spellEnd"/>
          <w:r>
            <w:rPr>
              <w:rFonts w:ascii="Cardo" w:eastAsia="Cardo" w:hAnsi="Cardo" w:cs="Cardo"/>
              <w:sz w:val="20"/>
              <w:szCs w:val="20"/>
            </w:rPr>
            <w:t xml:space="preserve"> was limited: only 45% had heard of ASP, with a strong increasing trend across years (χ² = 82.13, p &lt; 0.0001). Correct understanding of ASP functions and team composition was ≈40.0% (95% CI 36.3–43.7%) and ≈30%, respectively. Encouragingly, 80% (95% CI 77.0–83.0%) expressed willingness to educate others about AMR.</w:t>
          </w:r>
        </w:sdtContent>
      </w:sdt>
    </w:p>
    <w:p w14:paraId="4F3B7752" w14:textId="77777777" w:rsidR="00CC6907" w:rsidRDefault="00CC6907">
      <w:pPr>
        <w:spacing w:after="0" w:line="240" w:lineRule="auto"/>
        <w:jc w:val="both"/>
        <w:rPr>
          <w:rFonts w:ascii="Times New Roman" w:eastAsia="Times New Roman" w:hAnsi="Times New Roman" w:cs="Times New Roman"/>
          <w:sz w:val="20"/>
          <w:szCs w:val="20"/>
        </w:rPr>
      </w:pPr>
    </w:p>
    <w:p w14:paraId="375D6765"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DISCUSSION</w:t>
      </w:r>
    </w:p>
    <w:p w14:paraId="15546908"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present study assessed the awareness of antimicrobial resistance (AMR) and antimicrobial stewardship programs (ASP) among 662 medical students at </w:t>
      </w:r>
      <w:proofErr w:type="spellStart"/>
      <w:r>
        <w:rPr>
          <w:rFonts w:ascii="Times New Roman" w:eastAsia="Times New Roman" w:hAnsi="Times New Roman" w:cs="Times New Roman"/>
          <w:sz w:val="20"/>
          <w:szCs w:val="20"/>
        </w:rPr>
        <w:t>Kamineni</w:t>
      </w:r>
      <w:proofErr w:type="spellEnd"/>
      <w:r>
        <w:rPr>
          <w:rFonts w:ascii="Times New Roman" w:eastAsia="Times New Roman" w:hAnsi="Times New Roman" w:cs="Times New Roman"/>
          <w:sz w:val="20"/>
          <w:szCs w:val="20"/>
        </w:rPr>
        <w:t xml:space="preserve"> Institute of Medical Sciences, </w:t>
      </w:r>
      <w:proofErr w:type="spellStart"/>
      <w:r>
        <w:rPr>
          <w:rFonts w:ascii="Times New Roman" w:eastAsia="Times New Roman" w:hAnsi="Times New Roman" w:cs="Times New Roman"/>
          <w:sz w:val="20"/>
          <w:szCs w:val="20"/>
        </w:rPr>
        <w:t>Narketpally</w:t>
      </w:r>
      <w:proofErr w:type="spellEnd"/>
      <w:r>
        <w:rPr>
          <w:rFonts w:ascii="Times New Roman" w:eastAsia="Times New Roman" w:hAnsi="Times New Roman" w:cs="Times New Roman"/>
          <w:sz w:val="20"/>
          <w:szCs w:val="20"/>
        </w:rPr>
        <w:t>, Telangana, India, using a 16-item questionnaire adapted from the World Health Organization’s multi-country public awareness survey on AMR [5]. Overall, participants achieved a mean correct response rate of approximately 65%, reflecting moderate knowledge, with a clear year-wise progression from first-year students to postgraduates.</w:t>
      </w:r>
    </w:p>
    <w:p w14:paraId="624E1B7D" w14:textId="77777777" w:rsidR="00CC6907" w:rsidRDefault="00CC6907">
      <w:pPr>
        <w:spacing w:after="0" w:line="240" w:lineRule="auto"/>
        <w:jc w:val="both"/>
        <w:rPr>
          <w:rFonts w:ascii="Times New Roman" w:eastAsia="Times New Roman" w:hAnsi="Times New Roman" w:cs="Times New Roman"/>
          <w:sz w:val="20"/>
          <w:szCs w:val="20"/>
        </w:rPr>
      </w:pPr>
    </w:p>
    <w:p w14:paraId="69818477"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Notably, first- and second-year undergraduate students demonstrated the lowest mean scores (7 and 8, respectively), likely because they have limited or no clinical exposure and have not yet been adequately introduced to AMR and antimicrobial stewardship concepts in the curriculum. In contrast, knowledge levels improved progressively in later years, reaching a mean score of 10 among third-year and fourth-year students, and peaking at 11 among postgraduates. Postgraduate students exhibited greater knowledge due to their extensive clinical exposure and direct hands-on experience in patient management and antimicrobial prescribing. These patterns highlight that knowledge increases substantially with targeted training and practical exposure during clinical phases.</w:t>
      </w:r>
    </w:p>
    <w:p w14:paraId="28C3C550" w14:textId="77777777" w:rsidR="00CC6907" w:rsidRDefault="00CC6907">
      <w:pPr>
        <w:spacing w:after="0" w:line="240" w:lineRule="auto"/>
        <w:jc w:val="both"/>
        <w:rPr>
          <w:rFonts w:ascii="Times New Roman" w:eastAsia="Times New Roman" w:hAnsi="Times New Roman" w:cs="Times New Roman"/>
          <w:sz w:val="20"/>
          <w:szCs w:val="20"/>
        </w:rPr>
      </w:pPr>
    </w:p>
    <w:p w14:paraId="7975601B"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Undergraduate students showed a foundational understanding of key AMR principles—such as the ineffectiveness of antibiotics against viral infections and the necessity of completing prescribed courses—but revealed gaps in practical application and stewardship-specific knowledge. These findings are consistent with recent cross-sectional surveys among Indian medical students. A 2025 study by </w:t>
      </w:r>
      <w:proofErr w:type="spellStart"/>
      <w:r>
        <w:rPr>
          <w:rFonts w:ascii="Times New Roman" w:eastAsia="Times New Roman" w:hAnsi="Times New Roman" w:cs="Times New Roman"/>
          <w:sz w:val="20"/>
          <w:szCs w:val="20"/>
        </w:rPr>
        <w:t>Saksena</w:t>
      </w:r>
      <w:proofErr w:type="spellEnd"/>
      <w:r>
        <w:rPr>
          <w:rFonts w:ascii="Times New Roman" w:eastAsia="Times New Roman" w:hAnsi="Times New Roman" w:cs="Times New Roman"/>
          <w:sz w:val="20"/>
          <w:szCs w:val="20"/>
        </w:rPr>
        <w:t xml:space="preserve"> et al. among 208 undergraduate students reported an overall knowledge score of 73.75%, with high awareness of antibiotics’ bacterial specificity but low knowledge levels regarding practices like self-medication and dose-skipping [6]. Our questionnaire mostly </w:t>
      </w:r>
      <w:proofErr w:type="spellStart"/>
      <w:r>
        <w:rPr>
          <w:rFonts w:ascii="Times New Roman" w:eastAsia="Times New Roman" w:hAnsi="Times New Roman" w:cs="Times New Roman"/>
          <w:sz w:val="20"/>
          <w:szCs w:val="20"/>
        </w:rPr>
        <w:t>emphasises</w:t>
      </w:r>
      <w:proofErr w:type="spellEnd"/>
      <w:r>
        <w:rPr>
          <w:rFonts w:ascii="Times New Roman" w:eastAsia="Times New Roman" w:hAnsi="Times New Roman" w:cs="Times New Roman"/>
          <w:sz w:val="20"/>
          <w:szCs w:val="20"/>
        </w:rPr>
        <w:t xml:space="preserve"> public health aspects aligned with India’s National Action Plan on AMR.</w:t>
      </w:r>
    </w:p>
    <w:p w14:paraId="26F4E80B" w14:textId="77777777" w:rsidR="00CC6907" w:rsidRDefault="00CC6907">
      <w:pPr>
        <w:spacing w:after="0" w:line="240" w:lineRule="auto"/>
        <w:jc w:val="both"/>
        <w:rPr>
          <w:rFonts w:ascii="Times New Roman" w:eastAsia="Times New Roman" w:hAnsi="Times New Roman" w:cs="Times New Roman"/>
          <w:sz w:val="20"/>
          <w:szCs w:val="20"/>
        </w:rPr>
      </w:pPr>
    </w:p>
    <w:p w14:paraId="1C76A7C5"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Similarly, a multicentric intervention study of 599 final-year students across five Chennai colleges found baseline knowledge at 46.4% (mean pretest score 11.6/25), improving to 56% post-education (20% gain, P &lt; 0.001), underscoring curriculum gaps in stewardship despite theoretical foundations [8].</w:t>
      </w:r>
    </w:p>
    <w:p w14:paraId="0F0EE5C5" w14:textId="77777777" w:rsidR="00CC6907" w:rsidRDefault="00CC6907">
      <w:pPr>
        <w:spacing w:after="0" w:line="240" w:lineRule="auto"/>
        <w:jc w:val="both"/>
        <w:rPr>
          <w:rFonts w:ascii="Times New Roman" w:eastAsia="Times New Roman" w:hAnsi="Times New Roman" w:cs="Times New Roman"/>
          <w:sz w:val="20"/>
          <w:szCs w:val="20"/>
        </w:rPr>
      </w:pPr>
    </w:p>
    <w:p w14:paraId="499168B1"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 systematic review of 19 studies involving 2,776 medical students further corroborated this, reporting knowledge scores ranging from 52.69% to 96.00%, with higher scores in later years but consistent gaps in translating knowledge to practical use [9].</w:t>
      </w:r>
    </w:p>
    <w:p w14:paraId="6A6A3BFE" w14:textId="77777777" w:rsidR="00CC6907" w:rsidRDefault="00CC6907">
      <w:pPr>
        <w:spacing w:after="0" w:line="240" w:lineRule="auto"/>
        <w:jc w:val="both"/>
        <w:rPr>
          <w:rFonts w:ascii="Times New Roman" w:eastAsia="Times New Roman" w:hAnsi="Times New Roman" w:cs="Times New Roman"/>
          <w:sz w:val="20"/>
          <w:szCs w:val="20"/>
        </w:rPr>
      </w:pPr>
    </w:p>
    <w:p w14:paraId="088C7C7B"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Awareness of ASP was notably lower in our cohort, with only ~40% of undergraduates correctly identifying its core functions (e.g., promoting appropriate antimicrobial use, improving patient outcomes, reducing resistance spread—question 14), and ~30% recognizing the multidisciplinary composition of stewardship teams (question 15). This aligns with a 2025 cross-sectional study of 500 Indian undergraduates, which revealed strong theoretical AMR knowledge but low ASP engagement, with only 47.6% receiving formal training and 16.8% participating in stewardship initiatives; trained students scored higher in knowledge (P=0.006), yet attitudes and practices showed no significant differences [7]. The Rana et al. review similarly highlighted lower positive attitudes toward AMR among students (52.78–89.00%) compared to other healthcare workers, despite good practices in some contexts (up to 83.45%), emphasizing the need for targeted stewardship education to bridge knowledge-practice disparities [9].</w:t>
      </w:r>
    </w:p>
    <w:p w14:paraId="1090422B" w14:textId="77777777" w:rsidR="00CC6907" w:rsidRDefault="00CC6907">
      <w:pPr>
        <w:spacing w:after="0" w:line="240" w:lineRule="auto"/>
        <w:jc w:val="both"/>
        <w:rPr>
          <w:rFonts w:ascii="Times New Roman" w:eastAsia="Times New Roman" w:hAnsi="Times New Roman" w:cs="Times New Roman"/>
          <w:sz w:val="20"/>
          <w:szCs w:val="20"/>
        </w:rPr>
      </w:pPr>
    </w:p>
    <w:p w14:paraId="09472A0A"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moderate awareness observed in our study has implications for future prescribers in India, where AMR contributes to prolonged hospital stays, increased mortality, and escalating healthcare costs—exacerbated by over-the-counter antibiotic availability and empirical prescribing practices [1]. Training of MBBS students is particularly important for preventing AMR in the general population by reducing the misuse of antibiotics from the early stages of their careers. Encouragingly, 80% of participants expressed willingness to educate family and friends about AMR and its role in treatment failures, consistent with favorable attitudes reported in recent surveys (e.g., 85–97% viewing AMR as a health risk and supporting curriculum enhancements) [6,7].</w:t>
      </w:r>
    </w:p>
    <w:p w14:paraId="0A2480E0" w14:textId="77777777" w:rsidR="00CC6907" w:rsidRDefault="00CC6907">
      <w:pPr>
        <w:spacing w:after="0" w:line="240" w:lineRule="auto"/>
        <w:jc w:val="both"/>
        <w:rPr>
          <w:rFonts w:ascii="Times New Roman" w:eastAsia="Times New Roman" w:hAnsi="Times New Roman" w:cs="Times New Roman"/>
          <w:sz w:val="20"/>
          <w:szCs w:val="20"/>
        </w:rPr>
      </w:pPr>
    </w:p>
    <w:p w14:paraId="3570D08A"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Evidence-based interventions such as online modules have demonstrated 20% knowledge gains in final-year cohorts and should be piloted in teaching hospitals [8].</w:t>
      </w:r>
    </w:p>
    <w:p w14:paraId="43FD1CB1" w14:textId="77777777" w:rsidR="00CC6907" w:rsidRDefault="00CC6907">
      <w:pPr>
        <w:spacing w:after="0" w:line="240" w:lineRule="auto"/>
        <w:jc w:val="both"/>
        <w:rPr>
          <w:rFonts w:ascii="Times New Roman" w:eastAsia="Times New Roman" w:hAnsi="Times New Roman" w:cs="Times New Roman"/>
          <w:b/>
          <w:bCs/>
          <w:sz w:val="20"/>
          <w:szCs w:val="20"/>
        </w:rPr>
      </w:pPr>
    </w:p>
    <w:p w14:paraId="604294FB"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CONCLUSION</w:t>
      </w:r>
    </w:p>
    <w:p w14:paraId="755A437D"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This cross-sectional survey of 662 medical students at </w:t>
      </w:r>
      <w:proofErr w:type="spellStart"/>
      <w:r>
        <w:rPr>
          <w:rFonts w:ascii="Times New Roman" w:eastAsia="Times New Roman" w:hAnsi="Times New Roman" w:cs="Times New Roman"/>
          <w:sz w:val="20"/>
          <w:szCs w:val="20"/>
        </w:rPr>
        <w:t>Kamineni</w:t>
      </w:r>
      <w:proofErr w:type="spellEnd"/>
      <w:r>
        <w:rPr>
          <w:rFonts w:ascii="Times New Roman" w:eastAsia="Times New Roman" w:hAnsi="Times New Roman" w:cs="Times New Roman"/>
          <w:sz w:val="20"/>
          <w:szCs w:val="20"/>
        </w:rPr>
        <w:t xml:space="preserve"> Institute of Medical Sciences demonstrated moderate awareness of antimicrobial resistance, with clear improvement across academic years driven by increasing clinical exposure. While foundational concepts of AMR were reasonably understood, awareness and comprehension of antimicrobial stewardship </w:t>
      </w:r>
      <w:proofErr w:type="spellStart"/>
      <w:r>
        <w:rPr>
          <w:rFonts w:ascii="Times New Roman" w:eastAsia="Times New Roman" w:hAnsi="Times New Roman" w:cs="Times New Roman"/>
          <w:sz w:val="20"/>
          <w:szCs w:val="20"/>
        </w:rPr>
        <w:t>programmes</w:t>
      </w:r>
      <w:proofErr w:type="spellEnd"/>
      <w:r>
        <w:rPr>
          <w:rFonts w:ascii="Times New Roman" w:eastAsia="Times New Roman" w:hAnsi="Times New Roman" w:cs="Times New Roman"/>
          <w:sz w:val="20"/>
          <w:szCs w:val="20"/>
        </w:rPr>
        <w:t xml:space="preserve"> remained limited, particularly among undergraduates.</w:t>
      </w:r>
    </w:p>
    <w:p w14:paraId="22DBF83D"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These gaps highlight the urgent need to strengthen structured, practical training in antimicrobial stewardship from the early years of medical education. Such integration—through case-based learning, ward-based teaching, and multidisciplinary exposure—can equip future prescribers with the knowledge and mindset required to promote rational antimicrobial use.</w:t>
      </w:r>
    </w:p>
    <w:p w14:paraId="6BCF104D" w14:textId="77777777" w:rsidR="00CC6907"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Encouragingly, the strong willingness (80%) of participants to educate family and friends about AMR reflects a genuine commitment to collective responsibility. By acting on this potential through curriculum reform and sustained awareness efforts, medical training can better contribute to curbing antimicrobial resistance and protecting patient outcomes in India and beyond.</w:t>
      </w:r>
    </w:p>
    <w:p w14:paraId="01B15981" w14:textId="77777777" w:rsidR="00CC6907" w:rsidRDefault="00CC6907">
      <w:pPr>
        <w:spacing w:after="0" w:line="240" w:lineRule="auto"/>
        <w:jc w:val="both"/>
        <w:rPr>
          <w:rFonts w:ascii="Times New Roman" w:eastAsia="Times New Roman" w:hAnsi="Times New Roman" w:cs="Times New Roman"/>
          <w:b/>
          <w:bCs/>
          <w:sz w:val="20"/>
          <w:szCs w:val="20"/>
        </w:rPr>
      </w:pPr>
    </w:p>
    <w:p w14:paraId="0BC36356" w14:textId="77777777" w:rsidR="00CC6907" w:rsidRDefault="00000000">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REFERENCES</w:t>
      </w:r>
    </w:p>
    <w:p w14:paraId="61C699EF"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World Health Organization. Antimicrobial resistance [Internet]. Geneva: WHO; 2023 [cited 2025 Nov 12]. Available from: https://www.who.int/news-room/fact-sheets/detail/antimicrobial-resistance</w:t>
      </w:r>
    </w:p>
    <w:p w14:paraId="1B0C3F6F"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Centers for Disease Control and Prevention. About antimicrobial resistance [Internet]. Atlanta: CDC; 2024 [cited 2025 Nov 12]. Available from: https://www.cdc.gov/drugresistance/about.html</w:t>
      </w:r>
    </w:p>
    <w:p w14:paraId="3FEA32CE"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Infectious Diseases Society of America. Antimicrobial stewardship [Internet]. Arlington: IDSA; 2023 [cited 2025 Nov 12]. Available from: https://www.idsociety.org/policy–advocacy/antimicrobial-resistance/antimicrobial-stewardship/</w:t>
      </w:r>
    </w:p>
    <w:p w14:paraId="16ABEC7E"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World Health Organization. Antimicrobial stewardship </w:t>
      </w:r>
      <w:proofErr w:type="spellStart"/>
      <w:r>
        <w:rPr>
          <w:rFonts w:ascii="Times New Roman" w:eastAsia="Times New Roman" w:hAnsi="Times New Roman" w:cs="Times New Roman"/>
          <w:color w:val="000000"/>
          <w:sz w:val="20"/>
          <w:szCs w:val="20"/>
        </w:rPr>
        <w:t>programmes</w:t>
      </w:r>
      <w:proofErr w:type="spellEnd"/>
      <w:r>
        <w:rPr>
          <w:rFonts w:ascii="Times New Roman" w:eastAsia="Times New Roman" w:hAnsi="Times New Roman" w:cs="Times New Roman"/>
          <w:color w:val="000000"/>
          <w:sz w:val="20"/>
          <w:szCs w:val="20"/>
        </w:rPr>
        <w:t xml:space="preserve"> in health-care facilities in low- and middle-income countries: a WHO practical toolkit. Geneva: WHO; 2019. Available from: https://apps.who.int/iris/bitstream/handle/10665/329404/9789241515481-eng.pdf</w:t>
      </w:r>
    </w:p>
    <w:p w14:paraId="5C9C6794"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World Health Organization. Antimicrobial resistance: multi-country public awareness survey. Geneva: WHO; 2015. Available from: https://apps.who.int/iris/bitstream/handle/10665/194460/9789241509817_eng.pdf?sequence=1&amp;isAllowed=y</w:t>
      </w:r>
    </w:p>
    <w:p w14:paraId="773E6F61"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Saksena</w:t>
      </w:r>
      <w:proofErr w:type="spellEnd"/>
      <w:r>
        <w:rPr>
          <w:rFonts w:ascii="Times New Roman" w:eastAsia="Times New Roman" w:hAnsi="Times New Roman" w:cs="Times New Roman"/>
          <w:color w:val="000000"/>
          <w:sz w:val="20"/>
          <w:szCs w:val="20"/>
        </w:rPr>
        <w:t xml:space="preserve"> R, </w:t>
      </w:r>
      <w:proofErr w:type="spellStart"/>
      <w:r>
        <w:rPr>
          <w:rFonts w:ascii="Times New Roman" w:eastAsia="Times New Roman" w:hAnsi="Times New Roman" w:cs="Times New Roman"/>
          <w:color w:val="000000"/>
          <w:sz w:val="20"/>
          <w:szCs w:val="20"/>
        </w:rPr>
        <w:t>Parida</w:t>
      </w:r>
      <w:proofErr w:type="spellEnd"/>
      <w:r>
        <w:rPr>
          <w:rFonts w:ascii="Times New Roman" w:eastAsia="Times New Roman" w:hAnsi="Times New Roman" w:cs="Times New Roman"/>
          <w:color w:val="000000"/>
          <w:sz w:val="20"/>
          <w:szCs w:val="20"/>
        </w:rPr>
        <w:t xml:space="preserve"> A, Jain M, </w:t>
      </w:r>
      <w:proofErr w:type="spellStart"/>
      <w:r>
        <w:rPr>
          <w:rFonts w:ascii="Times New Roman" w:eastAsia="Times New Roman" w:hAnsi="Times New Roman" w:cs="Times New Roman"/>
          <w:color w:val="000000"/>
          <w:sz w:val="20"/>
          <w:szCs w:val="20"/>
        </w:rPr>
        <w:t>Gaind</w:t>
      </w:r>
      <w:proofErr w:type="spellEnd"/>
      <w:r>
        <w:rPr>
          <w:rFonts w:ascii="Times New Roman" w:eastAsia="Times New Roman" w:hAnsi="Times New Roman" w:cs="Times New Roman"/>
          <w:color w:val="000000"/>
          <w:sz w:val="20"/>
          <w:szCs w:val="20"/>
        </w:rPr>
        <w:t xml:space="preserve"> R. Antibiotic use and antimicrobial resistance: Knowledge, Attitude and Practices survey of medical students to evaluate undergraduate training curriculum. Access </w:t>
      </w:r>
      <w:proofErr w:type="spellStart"/>
      <w:r>
        <w:rPr>
          <w:rFonts w:ascii="Times New Roman" w:eastAsia="Times New Roman" w:hAnsi="Times New Roman" w:cs="Times New Roman"/>
          <w:color w:val="000000"/>
          <w:sz w:val="20"/>
          <w:szCs w:val="20"/>
        </w:rPr>
        <w:t>Microbiol</w:t>
      </w:r>
      <w:proofErr w:type="spellEnd"/>
      <w:r>
        <w:rPr>
          <w:rFonts w:ascii="Times New Roman" w:eastAsia="Times New Roman" w:hAnsi="Times New Roman" w:cs="Times New Roman"/>
          <w:color w:val="000000"/>
          <w:sz w:val="20"/>
          <w:szCs w:val="20"/>
        </w:rPr>
        <w:t>. 2025;7(1):000638. doi:10.1099/acmi.</w:t>
      </w:r>
      <w:proofErr w:type="gramStart"/>
      <w:r>
        <w:rPr>
          <w:rFonts w:ascii="Times New Roman" w:eastAsia="Times New Roman" w:hAnsi="Times New Roman" w:cs="Times New Roman"/>
          <w:color w:val="000000"/>
          <w:sz w:val="20"/>
          <w:szCs w:val="20"/>
        </w:rPr>
        <w:t>0.000638.v</w:t>
      </w:r>
      <w:proofErr w:type="gramEnd"/>
      <w:r>
        <w:rPr>
          <w:rFonts w:ascii="Times New Roman" w:eastAsia="Times New Roman" w:hAnsi="Times New Roman" w:cs="Times New Roman"/>
          <w:color w:val="000000"/>
          <w:sz w:val="20"/>
          <w:szCs w:val="20"/>
        </w:rPr>
        <w:t>4</w:t>
      </w:r>
    </w:p>
    <w:p w14:paraId="3143DB8B"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Narasimha Murthy KM, Arun </w:t>
      </w:r>
      <w:proofErr w:type="spellStart"/>
      <w:r>
        <w:rPr>
          <w:rFonts w:ascii="Times New Roman" w:eastAsia="Times New Roman" w:hAnsi="Times New Roman" w:cs="Times New Roman"/>
          <w:color w:val="000000"/>
          <w:sz w:val="20"/>
          <w:szCs w:val="20"/>
        </w:rPr>
        <w:t>Hebbar</w:t>
      </w:r>
      <w:proofErr w:type="spellEnd"/>
      <w:r>
        <w:rPr>
          <w:rFonts w:ascii="Times New Roman" w:eastAsia="Times New Roman" w:hAnsi="Times New Roman" w:cs="Times New Roman"/>
          <w:color w:val="000000"/>
          <w:sz w:val="20"/>
          <w:szCs w:val="20"/>
        </w:rPr>
        <w:t xml:space="preserve"> JN, Naveen Kumar. Knowledge, attitudes, and practices toward antibiotic use and resistance among medical students: a cross-sectional study. Int J Basic Clin </w:t>
      </w:r>
      <w:proofErr w:type="spellStart"/>
      <w:r>
        <w:rPr>
          <w:rFonts w:ascii="Times New Roman" w:eastAsia="Times New Roman" w:hAnsi="Times New Roman" w:cs="Times New Roman"/>
          <w:color w:val="000000"/>
          <w:sz w:val="20"/>
          <w:szCs w:val="20"/>
        </w:rPr>
        <w:t>Pharmacol</w:t>
      </w:r>
      <w:proofErr w:type="spellEnd"/>
      <w:r>
        <w:rPr>
          <w:rFonts w:ascii="Times New Roman" w:eastAsia="Times New Roman" w:hAnsi="Times New Roman" w:cs="Times New Roman"/>
          <w:color w:val="000000"/>
          <w:sz w:val="20"/>
          <w:szCs w:val="20"/>
        </w:rPr>
        <w:t>. 2025;14(5):760-4. doi:10.18203/2319-2003.ijbcp20252573</w:t>
      </w:r>
    </w:p>
    <w:p w14:paraId="134A2E5A" w14:textId="77777777" w:rsidR="00CC6907"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lastRenderedPageBreak/>
        <w:t>Vijayaraghavan</w:t>
      </w:r>
      <w:proofErr w:type="spellEnd"/>
      <w:r>
        <w:rPr>
          <w:rFonts w:ascii="Times New Roman" w:eastAsia="Times New Roman" w:hAnsi="Times New Roman" w:cs="Times New Roman"/>
          <w:color w:val="000000"/>
          <w:sz w:val="20"/>
          <w:szCs w:val="20"/>
        </w:rPr>
        <w:t xml:space="preserve"> BKT, Ranganathan L, Venkataraman R, </w:t>
      </w:r>
      <w:proofErr w:type="spellStart"/>
      <w:r>
        <w:rPr>
          <w:rFonts w:ascii="Times New Roman" w:eastAsia="Times New Roman" w:hAnsi="Times New Roman" w:cs="Times New Roman"/>
          <w:color w:val="000000"/>
          <w:sz w:val="20"/>
          <w:szCs w:val="20"/>
        </w:rPr>
        <w:t>Ramasubramanian</w:t>
      </w:r>
      <w:proofErr w:type="spellEnd"/>
      <w:r>
        <w:rPr>
          <w:rFonts w:ascii="Times New Roman" w:eastAsia="Times New Roman" w:hAnsi="Times New Roman" w:cs="Times New Roman"/>
          <w:color w:val="000000"/>
          <w:sz w:val="20"/>
          <w:szCs w:val="20"/>
        </w:rPr>
        <w:t xml:space="preserve"> V, Ramanathan Y, </w:t>
      </w:r>
      <w:proofErr w:type="spellStart"/>
      <w:r>
        <w:rPr>
          <w:rFonts w:ascii="Times New Roman" w:eastAsia="Times New Roman" w:hAnsi="Times New Roman" w:cs="Times New Roman"/>
          <w:color w:val="000000"/>
          <w:sz w:val="20"/>
          <w:szCs w:val="20"/>
        </w:rPr>
        <w:t>Sanmarkan</w:t>
      </w:r>
      <w:proofErr w:type="spellEnd"/>
      <w:r>
        <w:rPr>
          <w:rFonts w:ascii="Times New Roman" w:eastAsia="Times New Roman" w:hAnsi="Times New Roman" w:cs="Times New Roman"/>
          <w:color w:val="000000"/>
          <w:sz w:val="20"/>
          <w:szCs w:val="20"/>
        </w:rPr>
        <w:t xml:space="preserve"> AD, et al. Improving Antimicrobial Resistance Awareness Among Medical Students in India: The Sensitization of Medical Students on Antimicrobial Resistance (SOS-AMR) Study. J Med Educ </w:t>
      </w:r>
      <w:proofErr w:type="spellStart"/>
      <w:r>
        <w:rPr>
          <w:rFonts w:ascii="Times New Roman" w:eastAsia="Times New Roman" w:hAnsi="Times New Roman" w:cs="Times New Roman"/>
          <w:color w:val="000000"/>
          <w:sz w:val="20"/>
          <w:szCs w:val="20"/>
        </w:rPr>
        <w:t>Curric</w:t>
      </w:r>
      <w:proofErr w:type="spellEnd"/>
      <w:r>
        <w:rPr>
          <w:rFonts w:ascii="Times New Roman" w:eastAsia="Times New Roman" w:hAnsi="Times New Roman" w:cs="Times New Roman"/>
          <w:color w:val="000000"/>
          <w:sz w:val="20"/>
          <w:szCs w:val="20"/>
        </w:rPr>
        <w:t xml:space="preserve"> Dev. </w:t>
      </w:r>
      <w:proofErr w:type="gramStart"/>
      <w:r>
        <w:rPr>
          <w:rFonts w:ascii="Times New Roman" w:eastAsia="Times New Roman" w:hAnsi="Times New Roman" w:cs="Times New Roman"/>
          <w:color w:val="000000"/>
          <w:sz w:val="20"/>
          <w:szCs w:val="20"/>
        </w:rPr>
        <w:t>2024;9:23821205241239842</w:t>
      </w:r>
      <w:proofErr w:type="gramEnd"/>
      <w:r>
        <w:rPr>
          <w:rFonts w:ascii="Times New Roman" w:eastAsia="Times New Roman" w:hAnsi="Times New Roman" w:cs="Times New Roman"/>
          <w:color w:val="000000"/>
          <w:sz w:val="20"/>
          <w:szCs w:val="20"/>
        </w:rPr>
        <w:t>. doi:10.1177/23821205241239842</w:t>
      </w:r>
    </w:p>
    <w:p w14:paraId="38CEF5BA" w14:textId="6F956DEF" w:rsidR="00CC6907" w:rsidRPr="00AD7686" w:rsidRDefault="00000000" w:rsidP="00AD768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Rana S, Kaur KN, </w:t>
      </w:r>
      <w:proofErr w:type="spellStart"/>
      <w:r>
        <w:rPr>
          <w:rFonts w:ascii="Times New Roman" w:eastAsia="Times New Roman" w:hAnsi="Times New Roman" w:cs="Times New Roman"/>
          <w:color w:val="000000"/>
          <w:sz w:val="20"/>
          <w:szCs w:val="20"/>
        </w:rPr>
        <w:t>Narad</w:t>
      </w:r>
      <w:proofErr w:type="spellEnd"/>
      <w:r>
        <w:rPr>
          <w:rFonts w:ascii="Times New Roman" w:eastAsia="Times New Roman" w:hAnsi="Times New Roman" w:cs="Times New Roman"/>
          <w:color w:val="000000"/>
          <w:sz w:val="20"/>
          <w:szCs w:val="20"/>
        </w:rPr>
        <w:t xml:space="preserve"> P, Walia K, Saeed S, Chandra A, et al. Knowledge, attitudes and practices of antimicrobial resistance awareness among healthcare workers in India: a systematic review. Front Public Health. </w:t>
      </w:r>
      <w:proofErr w:type="gramStart"/>
      <w:r>
        <w:rPr>
          <w:rFonts w:ascii="Times New Roman" w:eastAsia="Times New Roman" w:hAnsi="Times New Roman" w:cs="Times New Roman"/>
          <w:color w:val="000000"/>
          <w:sz w:val="20"/>
          <w:szCs w:val="20"/>
        </w:rPr>
        <w:t>2024;12:1433430</w:t>
      </w:r>
      <w:proofErr w:type="gramEnd"/>
      <w:r>
        <w:rPr>
          <w:rFonts w:ascii="Times New Roman" w:eastAsia="Times New Roman" w:hAnsi="Times New Roman" w:cs="Times New Roman"/>
          <w:color w:val="000000"/>
          <w:sz w:val="20"/>
          <w:szCs w:val="20"/>
        </w:rPr>
        <w:t>. doi:10.3389/fpubh.2024.1433430.</w:t>
      </w:r>
    </w:p>
    <w:sectPr w:rsidR="00CC6907" w:rsidRPr="00AD7686" w:rsidSect="00B867B7">
      <w:footerReference w:type="default" r:id="rId11"/>
      <w:pgSz w:w="11906" w:h="16838"/>
      <w:pgMar w:top="1080" w:right="1080" w:bottom="1440" w:left="1080" w:header="720" w:footer="720" w:gutter="0"/>
      <w:pgNumType w:start="27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45DB5" w14:textId="77777777" w:rsidR="0066283D" w:rsidRDefault="0066283D">
      <w:pPr>
        <w:spacing w:after="0" w:line="240" w:lineRule="auto"/>
      </w:pPr>
      <w:r>
        <w:separator/>
      </w:r>
    </w:p>
  </w:endnote>
  <w:endnote w:type="continuationSeparator" w:id="0">
    <w:p w14:paraId="3F4610F6" w14:textId="77777777" w:rsidR="0066283D" w:rsidRDefault="0066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CA8D9551-7A98-4EC5-B38D-E64B2EEDD47E}"/>
  </w:font>
  <w:font w:name="Calibri">
    <w:panose1 w:val="020F0502020204030204"/>
    <w:charset w:val="00"/>
    <w:family w:val="swiss"/>
    <w:pitch w:val="variable"/>
    <w:sig w:usb0="E4002EFF" w:usb1="C200247B" w:usb2="00000009" w:usb3="00000000" w:csb0="000001FF" w:csb1="00000000"/>
    <w:embedRegular r:id="rId2" w:fontKey="{B7DE3FD0-36A6-46F9-BF5E-296718446AC0}"/>
    <w:embedBold r:id="rId3" w:fontKey="{076498E3-80F1-4827-8795-303C50AB2F29}"/>
    <w:embedItalic r:id="rId4" w:fontKey="{1CCF6E8B-3BA1-452B-AF4C-EF1DDA26DA9A}"/>
    <w:embedBoldItalic r:id="rId5" w:fontKey="{8F07D0B8-7CAB-4D64-9ADA-AAD3474A37D4}"/>
  </w:font>
  <w:font w:name="Calibri Light">
    <w:panose1 w:val="020F0302020204030204"/>
    <w:charset w:val="00"/>
    <w:family w:val="swiss"/>
    <w:pitch w:val="variable"/>
    <w:sig w:usb0="E4002EFF" w:usb1="C200247B" w:usb2="00000009" w:usb3="00000000" w:csb0="000001FF" w:csb1="00000000"/>
    <w:embedRegular r:id="rId6" w:fontKey="{28ECA231-0BC0-448D-BE06-89F292CDC04E}"/>
  </w:font>
  <w:font w:name="Tahoma">
    <w:panose1 w:val="020B0604030504040204"/>
    <w:charset w:val="00"/>
    <w:family w:val="swiss"/>
    <w:pitch w:val="variable"/>
    <w:sig w:usb0="E1002EFF" w:usb1="C000605B" w:usb2="00000029" w:usb3="00000000" w:csb0="000101FF" w:csb1="00000000"/>
    <w:embedRegular r:id="rId7" w:fontKey="{5A9A45C4-5E54-4E38-80DF-E1362BC10FEC}"/>
  </w:font>
  <w:font w:name="Cambria">
    <w:panose1 w:val="02040503050406030204"/>
    <w:charset w:val="00"/>
    <w:family w:val="roman"/>
    <w:pitch w:val="variable"/>
    <w:sig w:usb0="E00006FF" w:usb1="420024FF" w:usb2="02000000" w:usb3="00000000" w:csb0="0000019F" w:csb1="00000000"/>
    <w:embedRegular r:id="rId8" w:fontKey="{5E3A4101-CD3C-4996-88D0-B6F1C6333DF4}"/>
  </w:font>
  <w:font w:name="Helvetica 45 Light">
    <w:panose1 w:val="00000000000000000000"/>
    <w:charset w:val="00"/>
    <w:family w:val="roman"/>
    <w:notTrueType/>
    <w:pitch w:val="default"/>
  </w:font>
  <w:font w:name="Twentieth Century">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embedRegular r:id="rId9" w:fontKey="{F9830D53-2EF3-4033-9363-B27F91CCEA3F}"/>
    <w:embedBold r:id="rId10" w:fontKey="{270DD1F4-65E2-4A8B-B374-101C1805EA36}"/>
  </w:font>
  <w:font w:name="Cardo">
    <w:charset w:val="00"/>
    <w:family w:val="auto"/>
    <w:pitch w:val="default"/>
    <w:embedRegular r:id="rId11" w:fontKey="{563C0B9A-35B5-47CB-B60F-9A0F137C83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C0A2" w14:textId="77777777" w:rsidR="00CC6907" w:rsidRDefault="00CC6907">
    <w:pPr>
      <w:widowControl w:val="0"/>
      <w:pBdr>
        <w:top w:val="nil"/>
        <w:left w:val="nil"/>
        <w:bottom w:val="nil"/>
        <w:right w:val="nil"/>
        <w:between w:val="nil"/>
      </w:pBdr>
      <w:spacing w:after="0" w:line="276" w:lineRule="auto"/>
      <w:rPr>
        <w:rFonts w:ascii="Times New Roman" w:eastAsia="Times New Roman" w:hAnsi="Times New Roman" w:cs="Times New Roman"/>
        <w:b/>
        <w:bCs/>
        <w:sz w:val="20"/>
        <w:szCs w:val="20"/>
      </w:rPr>
    </w:pPr>
  </w:p>
  <w:tbl>
    <w:tblPr>
      <w:tblStyle w:val="a4"/>
      <w:tblW w:w="9746" w:type="dxa"/>
      <w:tblLayout w:type="fixed"/>
      <w:tblLook w:val="0400" w:firstRow="0" w:lastRow="0" w:firstColumn="0" w:lastColumn="0" w:noHBand="0" w:noVBand="1"/>
    </w:tblPr>
    <w:tblGrid>
      <w:gridCol w:w="8771"/>
      <w:gridCol w:w="975"/>
    </w:tblGrid>
    <w:tr w:rsidR="00CC6907" w14:paraId="0A3FF799" w14:textId="77777777">
      <w:tc>
        <w:tcPr>
          <w:tcW w:w="8771" w:type="dxa"/>
          <w:tcBorders>
            <w:top w:val="single" w:sz="4" w:space="0" w:color="000000"/>
          </w:tcBorders>
        </w:tcPr>
        <w:p w14:paraId="563AB9CD" w14:textId="2102CC6F" w:rsidR="00CC6907" w:rsidRDefault="00000000">
          <w:pPr>
            <w:tabs>
              <w:tab w:val="center" w:pos="4513"/>
              <w:tab w:val="right" w:pos="9026"/>
            </w:tabs>
            <w:spacing w:after="0" w:line="240" w:lineRule="auto"/>
            <w:rPr>
              <w:i/>
              <w:iCs/>
              <w:sz w:val="18"/>
              <w:szCs w:val="18"/>
            </w:rPr>
          </w:pPr>
          <w:r>
            <w:rPr>
              <w:b/>
              <w:bCs/>
              <w:color w:val="17365D"/>
              <w:sz w:val="18"/>
              <w:szCs w:val="18"/>
            </w:rPr>
            <w:t xml:space="preserve">Dr. </w:t>
          </w:r>
          <w:proofErr w:type="spellStart"/>
          <w:r>
            <w:rPr>
              <w:b/>
              <w:bCs/>
              <w:color w:val="17365D"/>
              <w:sz w:val="18"/>
              <w:szCs w:val="18"/>
            </w:rPr>
            <w:t>Gajula</w:t>
          </w:r>
          <w:proofErr w:type="spellEnd"/>
          <w:r>
            <w:rPr>
              <w:b/>
              <w:bCs/>
              <w:color w:val="17365D"/>
              <w:sz w:val="18"/>
              <w:szCs w:val="18"/>
            </w:rPr>
            <w:t xml:space="preserve"> Sai Karthik,</w:t>
          </w:r>
          <w:r>
            <w:rPr>
              <w:sz w:val="18"/>
              <w:szCs w:val="18"/>
            </w:rPr>
            <w:t xml:space="preserve"> </w:t>
          </w:r>
          <w:r>
            <w:rPr>
              <w:i/>
              <w:iCs/>
              <w:sz w:val="18"/>
              <w:szCs w:val="18"/>
            </w:rPr>
            <w:t xml:space="preserve">et al. </w:t>
          </w:r>
          <w:r>
            <w:rPr>
              <w:sz w:val="18"/>
              <w:szCs w:val="18"/>
            </w:rPr>
            <w:t xml:space="preserve">Awareness on Antimicrobial drug resistance and Antimicrobial Stewardship </w:t>
          </w:r>
          <w:proofErr w:type="spellStart"/>
          <w:r>
            <w:rPr>
              <w:sz w:val="18"/>
              <w:szCs w:val="18"/>
            </w:rPr>
            <w:t>Programme</w:t>
          </w:r>
          <w:proofErr w:type="spellEnd"/>
          <w:r>
            <w:rPr>
              <w:sz w:val="18"/>
              <w:szCs w:val="18"/>
            </w:rPr>
            <w:t xml:space="preserve"> among Undergraduate and Postgraduate students in a teaching hospital</w:t>
          </w:r>
          <w:r>
            <w:rPr>
              <w:i/>
              <w:iCs/>
              <w:sz w:val="18"/>
              <w:szCs w:val="18"/>
            </w:rPr>
            <w:t xml:space="preserve">. Int. J Med. Pharm. Res., 7(1): </w:t>
          </w:r>
          <w:r w:rsidR="00B867B7">
            <w:rPr>
              <w:i/>
              <w:iCs/>
              <w:sz w:val="18"/>
              <w:szCs w:val="18"/>
            </w:rPr>
            <w:t>2744</w:t>
          </w:r>
          <w:r>
            <w:rPr>
              <w:i/>
              <w:iCs/>
              <w:sz w:val="18"/>
              <w:szCs w:val="18"/>
            </w:rPr>
            <w:t>‐</w:t>
          </w:r>
          <w:r w:rsidR="00B867B7">
            <w:rPr>
              <w:i/>
              <w:iCs/>
              <w:sz w:val="18"/>
              <w:szCs w:val="18"/>
            </w:rPr>
            <w:t>275</w:t>
          </w:r>
          <w:r w:rsidR="001370CF">
            <w:rPr>
              <w:i/>
              <w:iCs/>
              <w:sz w:val="18"/>
              <w:szCs w:val="18"/>
            </w:rPr>
            <w:t>1</w:t>
          </w:r>
          <w:r>
            <w:rPr>
              <w:i/>
              <w:iCs/>
              <w:sz w:val="18"/>
              <w:szCs w:val="18"/>
            </w:rPr>
            <w:t>, 2026</w:t>
          </w:r>
        </w:p>
      </w:tc>
      <w:tc>
        <w:tcPr>
          <w:tcW w:w="975" w:type="dxa"/>
          <w:tcBorders>
            <w:top w:val="single" w:sz="4" w:space="0" w:color="000000"/>
          </w:tcBorders>
        </w:tcPr>
        <w:p w14:paraId="25F6DB18" w14:textId="77777777" w:rsidR="00CC6907" w:rsidRDefault="00000000">
          <w:pPr>
            <w:tabs>
              <w:tab w:val="center" w:pos="4513"/>
              <w:tab w:val="right" w:pos="9026"/>
            </w:tabs>
            <w:spacing w:after="0" w:line="240" w:lineRule="auto"/>
            <w:rPr>
              <w:b/>
              <w:bCs/>
              <w:sz w:val="22"/>
              <w:szCs w:val="22"/>
            </w:rPr>
          </w:pPr>
          <w:r>
            <w:rPr>
              <w:b/>
              <w:bCs/>
              <w:sz w:val="22"/>
              <w:szCs w:val="22"/>
            </w:rPr>
            <w:fldChar w:fldCharType="begin"/>
          </w:r>
          <w:r>
            <w:rPr>
              <w:b/>
              <w:bCs/>
              <w:sz w:val="22"/>
              <w:szCs w:val="22"/>
            </w:rPr>
            <w:instrText>PAGE</w:instrText>
          </w:r>
          <w:r>
            <w:rPr>
              <w:b/>
              <w:bCs/>
              <w:sz w:val="22"/>
              <w:szCs w:val="22"/>
            </w:rPr>
            <w:fldChar w:fldCharType="separate"/>
          </w:r>
          <w:r w:rsidR="00AD7686">
            <w:rPr>
              <w:b/>
              <w:bCs/>
              <w:noProof/>
              <w:sz w:val="22"/>
              <w:szCs w:val="22"/>
            </w:rPr>
            <w:t>1</w:t>
          </w:r>
          <w:r>
            <w:rPr>
              <w:b/>
              <w:bCs/>
              <w:sz w:val="22"/>
              <w:szCs w:val="22"/>
            </w:rPr>
            <w:fldChar w:fldCharType="end"/>
          </w:r>
        </w:p>
      </w:tc>
    </w:tr>
  </w:tbl>
  <w:p w14:paraId="530A4DD2" w14:textId="77777777" w:rsidR="00CC6907" w:rsidRDefault="00CC690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BB89C" w14:textId="77777777" w:rsidR="0066283D" w:rsidRDefault="0066283D">
      <w:pPr>
        <w:spacing w:after="0" w:line="240" w:lineRule="auto"/>
      </w:pPr>
      <w:r>
        <w:separator/>
      </w:r>
    </w:p>
  </w:footnote>
  <w:footnote w:type="continuationSeparator" w:id="0">
    <w:p w14:paraId="6ED1CA82" w14:textId="77777777" w:rsidR="0066283D" w:rsidRDefault="00662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252"/>
    <w:multiLevelType w:val="multilevel"/>
    <w:tmpl w:val="D02EF4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D56006"/>
    <w:multiLevelType w:val="multilevel"/>
    <w:tmpl w:val="224888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2C0E99"/>
    <w:multiLevelType w:val="multilevel"/>
    <w:tmpl w:val="8856AD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BB668B"/>
    <w:multiLevelType w:val="multilevel"/>
    <w:tmpl w:val="3FF406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1F5D31"/>
    <w:multiLevelType w:val="multilevel"/>
    <w:tmpl w:val="EA52C8C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5F178E4"/>
    <w:multiLevelType w:val="multilevel"/>
    <w:tmpl w:val="0610E4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FC50C4"/>
    <w:multiLevelType w:val="multilevel"/>
    <w:tmpl w:val="7B3E6CE2"/>
    <w:lvl w:ilvl="0">
      <w:numFmt w:val="bullet"/>
      <w:lvlText w:val="•"/>
      <w:lvlJc w:val="left"/>
      <w:pPr>
        <w:ind w:left="1080" w:hanging="72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2B34EF"/>
    <w:multiLevelType w:val="multilevel"/>
    <w:tmpl w:val="F8CAFB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FCE56E0"/>
    <w:multiLevelType w:val="multilevel"/>
    <w:tmpl w:val="30302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3F82406"/>
    <w:multiLevelType w:val="multilevel"/>
    <w:tmpl w:val="4E66348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3977CF"/>
    <w:multiLevelType w:val="multilevel"/>
    <w:tmpl w:val="17CA28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5BE54FA"/>
    <w:multiLevelType w:val="multilevel"/>
    <w:tmpl w:val="A60CAE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825AA6"/>
    <w:multiLevelType w:val="multilevel"/>
    <w:tmpl w:val="A1744F2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F451FEA"/>
    <w:multiLevelType w:val="multilevel"/>
    <w:tmpl w:val="FF30998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A436614"/>
    <w:multiLevelType w:val="multilevel"/>
    <w:tmpl w:val="A632354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91B4958"/>
    <w:multiLevelType w:val="multilevel"/>
    <w:tmpl w:val="E98EA6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CCF5EE8"/>
    <w:multiLevelType w:val="multilevel"/>
    <w:tmpl w:val="54E8D39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4732046">
    <w:abstractNumId w:val="9"/>
  </w:num>
  <w:num w:numId="2" w16cid:durableId="1822112328">
    <w:abstractNumId w:val="6"/>
  </w:num>
  <w:num w:numId="3" w16cid:durableId="1031228755">
    <w:abstractNumId w:val="5"/>
  </w:num>
  <w:num w:numId="4" w16cid:durableId="415787729">
    <w:abstractNumId w:val="11"/>
  </w:num>
  <w:num w:numId="5" w16cid:durableId="1458717209">
    <w:abstractNumId w:val="3"/>
  </w:num>
  <w:num w:numId="6" w16cid:durableId="1199852933">
    <w:abstractNumId w:val="7"/>
  </w:num>
  <w:num w:numId="7" w16cid:durableId="1561669910">
    <w:abstractNumId w:val="14"/>
  </w:num>
  <w:num w:numId="8" w16cid:durableId="1338458608">
    <w:abstractNumId w:val="13"/>
  </w:num>
  <w:num w:numId="9" w16cid:durableId="1747456405">
    <w:abstractNumId w:val="8"/>
  </w:num>
  <w:num w:numId="10" w16cid:durableId="1266578513">
    <w:abstractNumId w:val="0"/>
  </w:num>
  <w:num w:numId="11" w16cid:durableId="51853867">
    <w:abstractNumId w:val="12"/>
  </w:num>
  <w:num w:numId="12" w16cid:durableId="1590845153">
    <w:abstractNumId w:val="2"/>
  </w:num>
  <w:num w:numId="13" w16cid:durableId="676537932">
    <w:abstractNumId w:val="15"/>
  </w:num>
  <w:num w:numId="14" w16cid:durableId="153420295">
    <w:abstractNumId w:val="16"/>
  </w:num>
  <w:num w:numId="15" w16cid:durableId="2064064449">
    <w:abstractNumId w:val="10"/>
  </w:num>
  <w:num w:numId="16" w16cid:durableId="452678534">
    <w:abstractNumId w:val="1"/>
  </w:num>
  <w:num w:numId="17" w16cid:durableId="12132245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907"/>
    <w:rsid w:val="00097DFA"/>
    <w:rsid w:val="001370CF"/>
    <w:rsid w:val="001E534A"/>
    <w:rsid w:val="003A50BE"/>
    <w:rsid w:val="003F1092"/>
    <w:rsid w:val="0066283D"/>
    <w:rsid w:val="0092366C"/>
    <w:rsid w:val="00A774BC"/>
    <w:rsid w:val="00AD7686"/>
    <w:rsid w:val="00B0202D"/>
    <w:rsid w:val="00B363C2"/>
    <w:rsid w:val="00B867B7"/>
    <w:rsid w:val="00CC6907"/>
    <w:rsid w:val="00F83813"/>
    <w:rsid w:val="00FB3F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A7D6"/>
  <w15:docId w15:val="{B55B5827-7BBB-44B5-B1B6-62BA7D4B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I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47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0473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73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73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473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73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73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3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3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35B"/>
    <w:rPr>
      <w:rFonts w:eastAsiaTheme="majorEastAsia" w:cstheme="majorBidi"/>
      <w:color w:val="272727" w:themeColor="text1" w:themeTint="D8"/>
    </w:rPr>
  </w:style>
  <w:style w:type="character" w:customStyle="1" w:styleId="TitleChar">
    <w:name w:val="Title Char"/>
    <w:basedOn w:val="DefaultParagraphFont"/>
    <w:link w:val="Title"/>
    <w:uiPriority w:val="10"/>
    <w:rsid w:val="0004735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473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35B"/>
    <w:pPr>
      <w:spacing w:before="160"/>
      <w:jc w:val="center"/>
    </w:pPr>
    <w:rPr>
      <w:i/>
      <w:iCs/>
      <w:color w:val="404040" w:themeColor="text1" w:themeTint="BF"/>
    </w:rPr>
  </w:style>
  <w:style w:type="character" w:customStyle="1" w:styleId="QuoteChar">
    <w:name w:val="Quote Char"/>
    <w:basedOn w:val="DefaultParagraphFont"/>
    <w:link w:val="Quote"/>
    <w:uiPriority w:val="29"/>
    <w:rsid w:val="0004735B"/>
    <w:rPr>
      <w:i/>
      <w:iCs/>
      <w:color w:val="404040" w:themeColor="text1" w:themeTint="BF"/>
    </w:rPr>
  </w:style>
  <w:style w:type="paragraph" w:styleId="ListParagraph">
    <w:name w:val="List Paragraph"/>
    <w:basedOn w:val="Normal"/>
    <w:uiPriority w:val="34"/>
    <w:qFormat/>
    <w:rsid w:val="0004735B"/>
    <w:pPr>
      <w:ind w:left="720"/>
      <w:contextualSpacing/>
    </w:pPr>
  </w:style>
  <w:style w:type="character" w:styleId="IntenseEmphasis">
    <w:name w:val="Intense Emphasis"/>
    <w:basedOn w:val="DefaultParagraphFont"/>
    <w:uiPriority w:val="21"/>
    <w:qFormat/>
    <w:rsid w:val="0004735B"/>
    <w:rPr>
      <w:i/>
      <w:iCs/>
      <w:color w:val="2F5496" w:themeColor="accent1" w:themeShade="BF"/>
    </w:rPr>
  </w:style>
  <w:style w:type="paragraph" w:styleId="IntenseQuote">
    <w:name w:val="Intense Quote"/>
    <w:basedOn w:val="Normal"/>
    <w:next w:val="Normal"/>
    <w:link w:val="IntenseQuoteChar"/>
    <w:uiPriority w:val="30"/>
    <w:qFormat/>
    <w:rsid w:val="000473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735B"/>
    <w:rPr>
      <w:i/>
      <w:iCs/>
      <w:color w:val="2F5496" w:themeColor="accent1" w:themeShade="BF"/>
    </w:rPr>
  </w:style>
  <w:style w:type="character" w:styleId="IntenseReference">
    <w:name w:val="Intense Reference"/>
    <w:basedOn w:val="DefaultParagraphFont"/>
    <w:uiPriority w:val="32"/>
    <w:qFormat/>
    <w:rsid w:val="0004735B"/>
    <w:rPr>
      <w:b/>
      <w:bCs/>
      <w:smallCaps/>
      <w:color w:val="2F5496" w:themeColor="accent1" w:themeShade="BF"/>
      <w:spacing w:val="5"/>
    </w:rPr>
  </w:style>
  <w:style w:type="table" w:styleId="TableGrid">
    <w:name w:val="Table Grid"/>
    <w:basedOn w:val="TableNormal"/>
    <w:uiPriority w:val="39"/>
    <w:rsid w:val="00047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4735B"/>
    <w:rPr>
      <w:color w:val="0000FF"/>
      <w:u w:val="single"/>
    </w:rPr>
  </w:style>
  <w:style w:type="paragraph" w:styleId="NoSpacing">
    <w:name w:val="No Spacing"/>
    <w:uiPriority w:val="1"/>
    <w:qFormat/>
    <w:rsid w:val="0004735B"/>
    <w:pPr>
      <w:spacing w:after="0" w:line="240" w:lineRule="auto"/>
    </w:pPr>
    <w:rPr>
      <w:sz w:val="22"/>
      <w:szCs w:val="22"/>
    </w:rPr>
  </w:style>
  <w:style w:type="character" w:customStyle="1" w:styleId="UnresolvedMention1">
    <w:name w:val="Unresolved Mention1"/>
    <w:basedOn w:val="DefaultParagraphFont"/>
    <w:uiPriority w:val="99"/>
    <w:semiHidden/>
    <w:unhideWhenUsed/>
    <w:rsid w:val="004226E3"/>
    <w:rPr>
      <w:color w:val="605E5C"/>
      <w:shd w:val="clear" w:color="auto" w:fill="E1DFDD"/>
    </w:rPr>
  </w:style>
  <w:style w:type="paragraph" w:styleId="Header">
    <w:name w:val="header"/>
    <w:basedOn w:val="Normal"/>
    <w:link w:val="HeaderChar"/>
    <w:uiPriority w:val="99"/>
    <w:unhideWhenUsed/>
    <w:rsid w:val="001C4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F91"/>
  </w:style>
  <w:style w:type="paragraph" w:styleId="Footer">
    <w:name w:val="footer"/>
    <w:basedOn w:val="Normal"/>
    <w:link w:val="FooterChar"/>
    <w:uiPriority w:val="99"/>
    <w:unhideWhenUsed/>
    <w:rsid w:val="001C4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F91"/>
  </w:style>
  <w:style w:type="paragraph" w:styleId="BalloonText">
    <w:name w:val="Balloon Text"/>
    <w:basedOn w:val="Normal"/>
    <w:link w:val="BalloonTextChar"/>
    <w:uiPriority w:val="99"/>
    <w:semiHidden/>
    <w:unhideWhenUsed/>
    <w:rsid w:val="00103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B1"/>
    <w:rPr>
      <w:rFonts w:ascii="Tahoma" w:hAnsi="Tahoma" w:cs="Tahoma"/>
      <w:sz w:val="16"/>
      <w:szCs w:val="16"/>
    </w:rPr>
  </w:style>
  <w:style w:type="paragraph" w:styleId="NormalWeb">
    <w:name w:val="Normal (Web)"/>
    <w:basedOn w:val="Normal"/>
    <w:uiPriority w:val="99"/>
    <w:unhideWhenUsed/>
    <w:rsid w:val="006E36DB"/>
    <w:pPr>
      <w:spacing w:before="100" w:beforeAutospacing="1" w:after="100" w:afterAutospacing="1" w:line="240" w:lineRule="auto"/>
    </w:pPr>
    <w:rPr>
      <w:rFonts w:ascii="Times New Roman" w:eastAsia="Times New Roman" w:hAnsi="Times New Roman" w:cs="Times New Roman"/>
      <w:lang w:val="en-GB" w:eastAsia="en-GB"/>
    </w:rPr>
  </w:style>
  <w:style w:type="character" w:styleId="Strong">
    <w:name w:val="Strong"/>
    <w:basedOn w:val="DefaultParagraphFont"/>
    <w:uiPriority w:val="22"/>
    <w:qFormat/>
    <w:rsid w:val="006E36DB"/>
    <w:rPr>
      <w:b/>
      <w:bCs/>
    </w:rPr>
  </w:style>
  <w:style w:type="character" w:styleId="Emphasis">
    <w:name w:val="Emphasis"/>
    <w:basedOn w:val="DefaultParagraphFont"/>
    <w:uiPriority w:val="20"/>
    <w:qFormat/>
    <w:rsid w:val="006E36DB"/>
    <w:rPr>
      <w:i/>
      <w:iCs/>
    </w:rPr>
  </w:style>
  <w:style w:type="paragraph" w:customStyle="1" w:styleId="TableParagraph">
    <w:name w:val="Table Paragraph"/>
    <w:basedOn w:val="Normal"/>
    <w:uiPriority w:val="1"/>
    <w:qFormat/>
    <w:rsid w:val="00A659B9"/>
    <w:pPr>
      <w:widowControl w:val="0"/>
      <w:autoSpaceDE w:val="0"/>
      <w:autoSpaceDN w:val="0"/>
      <w:spacing w:after="0" w:line="240" w:lineRule="auto"/>
      <w:ind w:left="13"/>
      <w:jc w:val="center"/>
    </w:pPr>
    <w:rPr>
      <w:rFonts w:ascii="Times New Roman" w:eastAsia="Times New Roman" w:hAnsi="Times New Roman" w:cs="Times New Roman"/>
      <w:sz w:val="22"/>
      <w:szCs w:val="22"/>
    </w:rPr>
  </w:style>
  <w:style w:type="paragraph" w:customStyle="1" w:styleId="Normal1">
    <w:name w:val="Normal1"/>
    <w:rsid w:val="0014627B"/>
    <w:pPr>
      <w:spacing w:after="200" w:line="276" w:lineRule="auto"/>
    </w:pPr>
    <w:rPr>
      <w:rFonts w:ascii="Cambria" w:eastAsia="Cambria" w:hAnsi="Cambria" w:cs="Cambria"/>
      <w:sz w:val="22"/>
      <w:szCs w:val="22"/>
    </w:rPr>
  </w:style>
  <w:style w:type="paragraph" w:customStyle="1" w:styleId="my-2">
    <w:name w:val="my-2"/>
    <w:basedOn w:val="Normal"/>
    <w:rsid w:val="00190A04"/>
    <w:pPr>
      <w:spacing w:before="100" w:beforeAutospacing="1" w:after="100" w:afterAutospacing="1" w:line="240" w:lineRule="auto"/>
    </w:pPr>
    <w:rPr>
      <w:rFonts w:ascii="Times New Roman" w:eastAsia="Times New Roman" w:hAnsi="Times New Roman" w:cs="Times New Roman"/>
      <w:lang w:val="en-IN"/>
    </w:rPr>
  </w:style>
  <w:style w:type="paragraph" w:styleId="Caption">
    <w:name w:val="caption"/>
    <w:basedOn w:val="Normal"/>
    <w:next w:val="Normal"/>
    <w:uiPriority w:val="35"/>
    <w:unhideWhenUsed/>
    <w:qFormat/>
    <w:rsid w:val="00190A04"/>
    <w:pPr>
      <w:spacing w:after="200" w:line="240" w:lineRule="auto"/>
    </w:pPr>
    <w:rPr>
      <w:i/>
      <w:iCs/>
      <w:color w:val="44546A" w:themeColor="text2"/>
      <w:sz w:val="18"/>
      <w:szCs w:val="18"/>
      <w:lang w:val="en-IN"/>
    </w:rPr>
  </w:style>
  <w:style w:type="paragraph" w:customStyle="1" w:styleId="Default">
    <w:name w:val="Default"/>
    <w:rsid w:val="00190A04"/>
    <w:pPr>
      <w:autoSpaceDE w:val="0"/>
      <w:autoSpaceDN w:val="0"/>
      <w:adjustRightInd w:val="0"/>
      <w:spacing w:after="0" w:line="240" w:lineRule="auto"/>
    </w:pPr>
    <w:rPr>
      <w:rFonts w:ascii="Helvetica 45 Light" w:hAnsi="Helvetica 45 Light" w:cs="Helvetica 45 Light"/>
      <w:color w:val="000000"/>
    </w:rPr>
  </w:style>
  <w:style w:type="character" w:customStyle="1" w:styleId="A2">
    <w:name w:val="A2"/>
    <w:uiPriority w:val="99"/>
    <w:rsid w:val="007227DE"/>
    <w:rPr>
      <w:b/>
      <w:bCs/>
      <w:color w:val="000000"/>
      <w:sz w:val="12"/>
      <w:szCs w:val="12"/>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jmpr.i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2QyU64NCF9CiFgekur08oIEscw==">CgMxLjAaIwoBMBIeChwIB0IYCg9UaW1lcyBOZXcgUm9tYW4SBUNhcmRvMg5oLjUwMnZ6cGN3cWV1ajIJaC4xZm9iOXRlMgloLjN6bnlzaDcyDmguMTg2MmtjOWltdWFzMg5oLjFmeGJtMjNqbG55NzgAciExYWNqT0NzSW1qWlQxcElhLWlVUTc0TG1zNGtoS3pUT00=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3048</Words>
  <Characters>17377</Characters>
  <Application>Microsoft Office Word</Application>
  <DocSecurity>0</DocSecurity>
  <Lines>144</Lines>
  <Paragraphs>40</Paragraphs>
  <ScaleCrop>false</ScaleCrop>
  <Company/>
  <LinksUpToDate>false</LinksUpToDate>
  <CharactersWithSpaces>20385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Aniket Rajbhar</cp:lastModifiedBy>
  <cp:revision>2</cp:revision>
  <dcterms:created xsi:type="dcterms:W3CDTF">2026-02-25T10:52:00Z</dcterms:created>
  <dcterms:modified xsi:type="dcterms:W3CDTF">2026-02-25T10:52:00Z</dcterms:modified>
</cp:coreProperties>
</file>