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25"/>
        <w:gridCol w:w="856"/>
        <w:gridCol w:w="6865"/>
      </w:tblGrid>
      <w:tr w:rsidR="004F23D2" w14:paraId="2FFAD50D" w14:textId="77777777">
        <w:tc>
          <w:tcPr>
            <w:tcW w:w="1039" w:type="pct"/>
            <w:tcBorders>
              <w:bottom w:val="dotted" w:sz="2" w:space="0" w:color="auto"/>
            </w:tcBorders>
            <w:shd w:val="clear" w:color="auto" w:fill="FFFFFF"/>
          </w:tcPr>
          <w:p w14:paraId="751EE946" w14:textId="77777777" w:rsidR="004F23D2" w:rsidRDefault="00000000">
            <w:bookmarkStart w:id="0" w:name="_Hlk208265213"/>
            <w:r>
              <w:rPr>
                <w:rFonts w:cs="Calibri"/>
                <w:noProof/>
                <w:lang w:eastAsia="en-IN"/>
              </w:rPr>
              <w:drawing>
                <wp:inline distT="0" distB="0" distL="0" distR="0" wp14:anchorId="2ADE5A81" wp14:editId="2F42D1A5">
                  <wp:extent cx="632437" cy="894750"/>
                  <wp:effectExtent l="95250" t="38100" r="34925" b="95885"/>
                  <wp:docPr id="1026"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7" cstate="print"/>
                          <a:srcRect/>
                          <a:stretch/>
                        </pic:blipFill>
                        <pic:spPr>
                          <a:xfrm>
                            <a:off x="0" y="0"/>
                            <a:ext cx="632437" cy="894750"/>
                          </a:xfrm>
                          <a:prstGeom prst="rect">
                            <a:avLst/>
                          </a:prstGeom>
                          <a:ln>
                            <a:noFill/>
                          </a:ln>
                          <a:effectLst>
                            <a:outerShdw blurRad="50800" dist="38100" dir="8100000" algn="tr" rotWithShape="0">
                              <a:srgbClr val="000000">
                                <a:alpha val="40000"/>
                              </a:srgbClr>
                            </a:outerShdw>
                          </a:effectLst>
                        </pic:spPr>
                      </pic:pic>
                    </a:graphicData>
                  </a:graphic>
                </wp:inline>
              </w:drawing>
            </w:r>
          </w:p>
        </w:tc>
        <w:tc>
          <w:tcPr>
            <w:tcW w:w="3961" w:type="pct"/>
            <w:gridSpan w:val="2"/>
            <w:tcBorders>
              <w:bottom w:val="dotted" w:sz="2" w:space="0" w:color="auto"/>
            </w:tcBorders>
            <w:shd w:val="clear" w:color="auto" w:fill="FFFFFF"/>
          </w:tcPr>
          <w:p w14:paraId="3DE80EDA" w14:textId="77777777" w:rsidR="004F23D2" w:rsidRDefault="004F23D2">
            <w:pPr>
              <w:rPr>
                <w:rFonts w:ascii="Tw Cen MT" w:hAnsi="Tw Cen MT" w:cs="Calibri"/>
                <w:b/>
                <w:bCs/>
                <w:sz w:val="16"/>
                <w:szCs w:val="16"/>
              </w:rPr>
            </w:pPr>
          </w:p>
          <w:p w14:paraId="0A8E94BE" w14:textId="77777777" w:rsidR="004F23D2" w:rsidRDefault="00000000">
            <w:pPr>
              <w:jc w:val="right"/>
              <w:rPr>
                <w:rFonts w:ascii="Tw Cen MT" w:hAnsi="Tw Cen MT" w:cs="Calibri"/>
                <w:b/>
                <w:bCs/>
                <w:color w:val="1F3864"/>
              </w:rPr>
            </w:pPr>
            <w:r>
              <w:rPr>
                <w:rFonts w:ascii="Tw Cen MT" w:hAnsi="Tw Cen MT" w:cs="Calibri"/>
                <w:b/>
                <w:bCs/>
                <w:color w:val="1F3864"/>
              </w:rPr>
              <w:t>International Journal of Medical</w:t>
            </w:r>
          </w:p>
          <w:p w14:paraId="1AED04CF" w14:textId="77777777" w:rsidR="004F23D2" w:rsidRDefault="00000000">
            <w:pPr>
              <w:spacing w:line="360" w:lineRule="auto"/>
              <w:jc w:val="right"/>
              <w:rPr>
                <w:rFonts w:ascii="Tw Cen MT" w:hAnsi="Tw Cen MT" w:cs="Calibri"/>
                <w:b/>
                <w:bCs/>
                <w:color w:val="1F3864"/>
              </w:rPr>
            </w:pPr>
            <w:r>
              <w:rPr>
                <w:rFonts w:ascii="Tw Cen MT" w:hAnsi="Tw Cen MT" w:cs="Calibri"/>
                <w:b/>
                <w:bCs/>
                <w:color w:val="1F3864"/>
              </w:rPr>
              <w:t>and Pharmaceutical Research</w:t>
            </w:r>
          </w:p>
          <w:p w14:paraId="11DE2D21" w14:textId="77777777" w:rsidR="004F23D2" w:rsidRDefault="00000000">
            <w:pPr>
              <w:jc w:val="right"/>
              <w:rPr>
                <w:rFonts w:ascii="Tw Cen MT" w:hAnsi="Tw Cen MT" w:cs="Calibri"/>
                <w:sz w:val="20"/>
                <w:szCs w:val="20"/>
              </w:rPr>
            </w:pPr>
            <w:r>
              <w:rPr>
                <w:rFonts w:ascii="Tw Cen MT" w:hAnsi="Tw Cen MT" w:cs="Calibri"/>
                <w:sz w:val="20"/>
                <w:szCs w:val="20"/>
              </w:rPr>
              <w:t>Online ISSN-2958-3683 | Print ISSN-2958-3675</w:t>
            </w:r>
          </w:p>
          <w:p w14:paraId="1375F9BF" w14:textId="77777777" w:rsidR="004F23D2" w:rsidRDefault="00000000">
            <w:pPr>
              <w:jc w:val="right"/>
              <w:rPr>
                <w:rFonts w:cs="Calibri"/>
              </w:rPr>
            </w:pPr>
            <w:r>
              <w:rPr>
                <w:rFonts w:ascii="Tw Cen MT" w:hAnsi="Tw Cen MT" w:cs="Calibri"/>
                <w:sz w:val="20"/>
                <w:szCs w:val="20"/>
              </w:rPr>
              <w:t>Frequency: Bi-Monthly</w:t>
            </w:r>
            <w:r>
              <w:rPr>
                <w:rFonts w:ascii="Tw Cen MT" w:hAnsi="Tw Cen MT" w:cs="Calibri"/>
                <w:sz w:val="20"/>
                <w:szCs w:val="20"/>
              </w:rPr>
              <w:br/>
              <w:t xml:space="preserve">Available online on: </w:t>
            </w:r>
            <w:hyperlink r:id="rId8" w:history="1">
              <w:r w:rsidR="004F23D2">
                <w:rPr>
                  <w:rFonts w:ascii="Tw Cen MT" w:hAnsi="Tw Cen MT" w:cs="Calibri"/>
                  <w:color w:val="0000FF"/>
                  <w:sz w:val="20"/>
                  <w:szCs w:val="20"/>
                  <w:u w:val="single"/>
                </w:rPr>
                <w:t>https://ijmpr.in/</w:t>
              </w:r>
            </w:hyperlink>
            <w:r>
              <w:rPr>
                <w:rFonts w:ascii="Tw Cen MT" w:hAnsi="Tw Cen MT" w:cs="Calibri"/>
                <w:sz w:val="20"/>
                <w:szCs w:val="20"/>
              </w:rPr>
              <w:t xml:space="preserve"> </w:t>
            </w:r>
          </w:p>
        </w:tc>
      </w:tr>
      <w:tr w:rsidR="004F23D2" w14:paraId="66956F26" w14:textId="77777777">
        <w:trPr>
          <w:trHeight w:val="333"/>
        </w:trPr>
        <w:tc>
          <w:tcPr>
            <w:tcW w:w="5000" w:type="pct"/>
            <w:gridSpan w:val="3"/>
            <w:tcBorders>
              <w:top w:val="dotted" w:sz="2" w:space="0" w:color="auto"/>
            </w:tcBorders>
          </w:tcPr>
          <w:p w14:paraId="44CC2432" w14:textId="77777777" w:rsidR="004F23D2" w:rsidRDefault="00000000">
            <w:pPr>
              <w:rPr>
                <w:rFonts w:ascii="Tw Cen MT" w:hAnsi="Tw Cen MT"/>
              </w:rPr>
            </w:pPr>
            <w:r>
              <w:rPr>
                <w:rFonts w:ascii="Tw Cen MT" w:hAnsi="Tw Cen MT"/>
                <w:highlight w:val="lightGray"/>
              </w:rPr>
              <w:t>Original Article</w:t>
            </w:r>
          </w:p>
        </w:tc>
      </w:tr>
      <w:tr w:rsidR="004F23D2" w14:paraId="5213D8C7" w14:textId="77777777">
        <w:tc>
          <w:tcPr>
            <w:tcW w:w="5000" w:type="pct"/>
            <w:gridSpan w:val="3"/>
          </w:tcPr>
          <w:p w14:paraId="0DD5EE9B" w14:textId="77777777" w:rsidR="004F23D2" w:rsidRDefault="004F23D2">
            <w:pPr>
              <w:tabs>
                <w:tab w:val="left" w:pos="3885"/>
              </w:tabs>
              <w:jc w:val="center"/>
              <w:rPr>
                <w:rFonts w:ascii="Century Gothic" w:hAnsi="Century Gothic"/>
                <w:color w:val="323E4F"/>
                <w:spacing w:val="-6"/>
                <w:sz w:val="20"/>
                <w:szCs w:val="20"/>
              </w:rPr>
            </w:pPr>
          </w:p>
          <w:p w14:paraId="632F7611" w14:textId="51DE9209" w:rsidR="004F23D2" w:rsidRDefault="007963CD">
            <w:pPr>
              <w:jc w:val="center"/>
              <w:rPr>
                <w:rFonts w:ascii="Century Gothic" w:hAnsi="Century Gothic"/>
                <w:b/>
                <w:bCs/>
                <w:color w:val="323E4F"/>
                <w:sz w:val="28"/>
                <w:szCs w:val="28"/>
              </w:rPr>
            </w:pPr>
            <w:r w:rsidRPr="007963CD">
              <w:rPr>
                <w:rFonts w:ascii="Century Gothic" w:hAnsi="Century Gothic"/>
                <w:b/>
                <w:bCs/>
                <w:color w:val="323E4F"/>
                <w:spacing w:val="-6"/>
                <w:sz w:val="28"/>
                <w:szCs w:val="28"/>
              </w:rPr>
              <w:t>Effect of a Structured Near-Peer Teaching Program on Clinical Skills Performance and Confidence Among MBBS Third-Year Students: A Comparative study</w:t>
            </w:r>
          </w:p>
          <w:p w14:paraId="2ED14823" w14:textId="77777777" w:rsidR="004F23D2" w:rsidRDefault="004F23D2">
            <w:pPr>
              <w:jc w:val="center"/>
              <w:rPr>
                <w:sz w:val="20"/>
                <w:szCs w:val="20"/>
              </w:rPr>
            </w:pPr>
          </w:p>
          <w:p w14:paraId="1B76A801" w14:textId="0A97A03F" w:rsidR="004F23D2" w:rsidRDefault="002604F1">
            <w:pPr>
              <w:spacing w:line="192" w:lineRule="auto"/>
              <w:jc w:val="center"/>
              <w:rPr>
                <w:b/>
                <w:bCs/>
                <w:sz w:val="20"/>
                <w:szCs w:val="20"/>
              </w:rPr>
            </w:pPr>
            <w:r w:rsidRPr="002604F1">
              <w:rPr>
                <w:b/>
                <w:bCs/>
                <w:sz w:val="20"/>
                <w:szCs w:val="20"/>
              </w:rPr>
              <w:t>Dr. Priyanka Chahal</w:t>
            </w:r>
            <w:r w:rsidRPr="002604F1">
              <w:rPr>
                <w:b/>
                <w:bCs/>
                <w:sz w:val="20"/>
                <w:szCs w:val="20"/>
                <w:vertAlign w:val="superscript"/>
              </w:rPr>
              <w:t>1</w:t>
            </w:r>
            <w:r w:rsidRPr="002604F1">
              <w:rPr>
                <w:b/>
                <w:bCs/>
                <w:sz w:val="20"/>
                <w:szCs w:val="20"/>
              </w:rPr>
              <w:t>, Dr. Deep Rattan Mittal</w:t>
            </w:r>
            <w:r w:rsidRPr="002604F1">
              <w:rPr>
                <w:b/>
                <w:bCs/>
                <w:sz w:val="20"/>
                <w:szCs w:val="20"/>
                <w:vertAlign w:val="superscript"/>
              </w:rPr>
              <w:t>2</w:t>
            </w:r>
            <w:r w:rsidRPr="002604F1">
              <w:rPr>
                <w:b/>
                <w:bCs/>
                <w:sz w:val="20"/>
                <w:szCs w:val="20"/>
              </w:rPr>
              <w:t>, Dr. Sonu Garg</w:t>
            </w:r>
            <w:r w:rsidRPr="002604F1">
              <w:rPr>
                <w:b/>
                <w:bCs/>
                <w:sz w:val="20"/>
                <w:szCs w:val="20"/>
                <w:vertAlign w:val="superscript"/>
              </w:rPr>
              <w:t>3</w:t>
            </w:r>
          </w:p>
          <w:p w14:paraId="345A87C5" w14:textId="77777777" w:rsidR="003606CF" w:rsidRDefault="003606CF">
            <w:pPr>
              <w:spacing w:line="192" w:lineRule="auto"/>
              <w:jc w:val="center"/>
              <w:rPr>
                <w:rFonts w:cs="Calibri"/>
                <w:sz w:val="18"/>
                <w:szCs w:val="18"/>
                <w:vertAlign w:val="superscript"/>
              </w:rPr>
            </w:pPr>
          </w:p>
          <w:p w14:paraId="2F59F19C" w14:textId="6817BFF1" w:rsidR="009A047C" w:rsidRPr="009A047C" w:rsidRDefault="009A047C" w:rsidP="009A047C">
            <w:pPr>
              <w:jc w:val="center"/>
              <w:rPr>
                <w:rFonts w:cs="Calibri"/>
                <w:i/>
                <w:iCs/>
                <w:sz w:val="18"/>
                <w:szCs w:val="18"/>
              </w:rPr>
            </w:pPr>
            <w:r w:rsidRPr="009A047C">
              <w:rPr>
                <w:rFonts w:cs="Calibri"/>
                <w:i/>
                <w:iCs/>
                <w:sz w:val="18"/>
                <w:szCs w:val="18"/>
                <w:vertAlign w:val="superscript"/>
              </w:rPr>
              <w:t>(Primary affiliation)1</w:t>
            </w:r>
            <w:r w:rsidRPr="009A047C">
              <w:rPr>
                <w:rFonts w:cs="Calibri"/>
                <w:i/>
                <w:iCs/>
                <w:sz w:val="18"/>
                <w:szCs w:val="18"/>
              </w:rPr>
              <w:t xml:space="preserve">Associate Professor, Department of Forensic Medicine, Dr SS </w:t>
            </w:r>
            <w:proofErr w:type="spellStart"/>
            <w:r w:rsidRPr="009A047C">
              <w:rPr>
                <w:rFonts w:cs="Calibri"/>
                <w:i/>
                <w:iCs/>
                <w:sz w:val="18"/>
                <w:szCs w:val="18"/>
              </w:rPr>
              <w:t>Tantia</w:t>
            </w:r>
            <w:proofErr w:type="spellEnd"/>
            <w:r w:rsidRPr="009A047C">
              <w:rPr>
                <w:rFonts w:cs="Calibri"/>
                <w:i/>
                <w:iCs/>
                <w:sz w:val="18"/>
                <w:szCs w:val="18"/>
              </w:rPr>
              <w:t xml:space="preserve"> Medical College and Hospital, </w:t>
            </w:r>
            <w:proofErr w:type="spellStart"/>
            <w:r w:rsidRPr="009A047C">
              <w:rPr>
                <w:rFonts w:cs="Calibri"/>
                <w:i/>
                <w:iCs/>
                <w:sz w:val="18"/>
                <w:szCs w:val="18"/>
              </w:rPr>
              <w:t>Sriganganagar</w:t>
            </w:r>
            <w:proofErr w:type="spellEnd"/>
            <w:r w:rsidRPr="009A047C">
              <w:rPr>
                <w:rFonts w:cs="Calibri"/>
                <w:i/>
                <w:iCs/>
                <w:sz w:val="18"/>
                <w:szCs w:val="18"/>
              </w:rPr>
              <w:t>, Rajasthan</w:t>
            </w:r>
            <w:r w:rsidR="00D148E3">
              <w:rPr>
                <w:rFonts w:cs="Calibri"/>
                <w:i/>
                <w:iCs/>
                <w:sz w:val="18"/>
                <w:szCs w:val="18"/>
              </w:rPr>
              <w:t>.</w:t>
            </w:r>
          </w:p>
          <w:p w14:paraId="2896AB6A" w14:textId="77777777" w:rsidR="009A047C" w:rsidRPr="009A047C" w:rsidRDefault="009A047C" w:rsidP="009A047C">
            <w:pPr>
              <w:jc w:val="center"/>
              <w:rPr>
                <w:rFonts w:cs="Calibri"/>
                <w:i/>
                <w:iCs/>
                <w:sz w:val="18"/>
                <w:szCs w:val="18"/>
              </w:rPr>
            </w:pPr>
            <w:r w:rsidRPr="009A047C">
              <w:rPr>
                <w:rFonts w:cs="Calibri"/>
                <w:i/>
                <w:iCs/>
                <w:sz w:val="18"/>
                <w:szCs w:val="18"/>
                <w:vertAlign w:val="superscript"/>
              </w:rPr>
              <w:t>(Secondary affiliation)1</w:t>
            </w:r>
            <w:r w:rsidRPr="009A047C">
              <w:rPr>
                <w:rFonts w:cs="Calibri"/>
                <w:i/>
                <w:iCs/>
                <w:sz w:val="18"/>
                <w:szCs w:val="18"/>
              </w:rPr>
              <w:t>Associate Professor, Department of Forensic Medicine, Sudha Medical College and Hospital, Kota, Rajasthan</w:t>
            </w:r>
          </w:p>
          <w:p w14:paraId="373ACEC2" w14:textId="77777777" w:rsidR="009A047C" w:rsidRPr="009A047C" w:rsidRDefault="009A047C" w:rsidP="009A047C">
            <w:pPr>
              <w:jc w:val="center"/>
              <w:rPr>
                <w:rFonts w:cs="Calibri"/>
                <w:i/>
                <w:iCs/>
                <w:sz w:val="18"/>
                <w:szCs w:val="18"/>
              </w:rPr>
            </w:pPr>
            <w:r w:rsidRPr="009A047C">
              <w:rPr>
                <w:rFonts w:cs="Calibri"/>
                <w:i/>
                <w:iCs/>
                <w:sz w:val="18"/>
                <w:szCs w:val="18"/>
                <w:vertAlign w:val="superscript"/>
              </w:rPr>
              <w:t>2</w:t>
            </w:r>
            <w:r w:rsidRPr="009A047C">
              <w:rPr>
                <w:rFonts w:cs="Calibri"/>
                <w:i/>
                <w:iCs/>
                <w:sz w:val="18"/>
                <w:szCs w:val="18"/>
              </w:rPr>
              <w:t xml:space="preserve">Assistant Professor, Department of Forensic Medicine, Dr SS </w:t>
            </w:r>
            <w:proofErr w:type="spellStart"/>
            <w:r w:rsidRPr="009A047C">
              <w:rPr>
                <w:rFonts w:cs="Calibri"/>
                <w:i/>
                <w:iCs/>
                <w:sz w:val="18"/>
                <w:szCs w:val="18"/>
              </w:rPr>
              <w:t>Tantia</w:t>
            </w:r>
            <w:proofErr w:type="spellEnd"/>
            <w:r w:rsidRPr="009A047C">
              <w:rPr>
                <w:rFonts w:cs="Calibri"/>
                <w:i/>
                <w:iCs/>
                <w:sz w:val="18"/>
                <w:szCs w:val="18"/>
              </w:rPr>
              <w:t xml:space="preserve"> Medical College and Hospital, </w:t>
            </w:r>
            <w:proofErr w:type="spellStart"/>
            <w:r w:rsidRPr="009A047C">
              <w:rPr>
                <w:rFonts w:cs="Calibri"/>
                <w:i/>
                <w:iCs/>
                <w:sz w:val="18"/>
                <w:szCs w:val="18"/>
              </w:rPr>
              <w:t>Sriganganagar</w:t>
            </w:r>
            <w:proofErr w:type="spellEnd"/>
            <w:r w:rsidRPr="009A047C">
              <w:rPr>
                <w:rFonts w:cs="Calibri"/>
                <w:i/>
                <w:iCs/>
                <w:sz w:val="18"/>
                <w:szCs w:val="18"/>
              </w:rPr>
              <w:t>, Rajasthan</w:t>
            </w:r>
          </w:p>
          <w:p w14:paraId="0B762482" w14:textId="661ACCBB" w:rsidR="004F23D2" w:rsidRDefault="009A047C" w:rsidP="009A047C">
            <w:pPr>
              <w:jc w:val="center"/>
              <w:rPr>
                <w:rFonts w:eastAsia="Times New Roman"/>
                <w:i/>
                <w:iCs/>
                <w:sz w:val="18"/>
                <w:szCs w:val="18"/>
              </w:rPr>
            </w:pPr>
            <w:r w:rsidRPr="009A047C">
              <w:rPr>
                <w:rFonts w:cs="Calibri"/>
                <w:i/>
                <w:iCs/>
                <w:sz w:val="18"/>
                <w:szCs w:val="18"/>
                <w:vertAlign w:val="superscript"/>
              </w:rPr>
              <w:t>3</w:t>
            </w:r>
            <w:r w:rsidRPr="009A047C">
              <w:rPr>
                <w:rFonts w:cs="Calibri"/>
                <w:i/>
                <w:iCs/>
                <w:sz w:val="18"/>
                <w:szCs w:val="18"/>
              </w:rPr>
              <w:t>Assistant Professor, Department of Pediatrics, Sudha Medical College and Hospital, Kota, Rajasthan</w:t>
            </w:r>
            <w:r w:rsidR="00000000">
              <w:rPr>
                <w:i/>
                <w:iCs/>
                <w:sz w:val="18"/>
                <w:szCs w:val="18"/>
              </w:rPr>
              <w:t>.</w:t>
            </w:r>
          </w:p>
          <w:p w14:paraId="4E6349D2" w14:textId="77777777" w:rsidR="004F23D2" w:rsidRDefault="004F23D2">
            <w:pPr>
              <w:jc w:val="center"/>
            </w:pPr>
          </w:p>
        </w:tc>
      </w:tr>
      <w:tr w:rsidR="004F23D2" w14:paraId="15641BB5" w14:textId="77777777">
        <w:tc>
          <w:tcPr>
            <w:tcW w:w="1478" w:type="pct"/>
            <w:gridSpan w:val="2"/>
            <w:shd w:val="clear" w:color="auto" w:fill="F2F2F2"/>
          </w:tcPr>
          <w:p w14:paraId="5E701BD0" w14:textId="77777777" w:rsidR="004F23D2" w:rsidRDefault="00000000">
            <w:pPr>
              <w:ind w:left="-113"/>
              <w:jc w:val="center"/>
              <w:rPr>
                <w:b/>
                <w:bCs/>
              </w:rPr>
            </w:pPr>
            <w:r>
              <w:rPr>
                <w:noProof/>
                <w:lang w:eastAsia="en-IN"/>
              </w:rPr>
              <w:drawing>
                <wp:inline distT="0" distB="0" distL="0" distR="0" wp14:anchorId="3171650F" wp14:editId="663EBA2D">
                  <wp:extent cx="1824990" cy="250189"/>
                  <wp:effectExtent l="0" t="0" r="0" b="0"/>
                  <wp:docPr id="102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duotone>
                              <a:srgbClr val="000000"/>
                              <a:srgbClr val="9EC6FF"/>
                            </a:duotone>
                          </a:blip>
                          <a:srcRect/>
                          <a:stretch/>
                        </pic:blipFill>
                        <pic:spPr>
                          <a:xfrm>
                            <a:off x="0" y="0"/>
                            <a:ext cx="1824990" cy="250189"/>
                          </a:xfrm>
                          <a:prstGeom prst="rect">
                            <a:avLst/>
                          </a:prstGeom>
                          <a:ln>
                            <a:noFill/>
                          </a:ln>
                        </pic:spPr>
                      </pic:pic>
                    </a:graphicData>
                  </a:graphic>
                </wp:inline>
              </w:drawing>
            </w:r>
          </w:p>
        </w:tc>
        <w:tc>
          <w:tcPr>
            <w:tcW w:w="3522" w:type="pct"/>
          </w:tcPr>
          <w:p w14:paraId="0DE7EC62" w14:textId="77777777" w:rsidR="004F23D2" w:rsidRDefault="00000000">
            <w:pPr>
              <w:ind w:left="60"/>
            </w:pPr>
            <w:r>
              <w:rPr>
                <w:rFonts w:cs="Tahoma"/>
                <w:b/>
                <w:bCs/>
                <w:color w:val="E36C0A"/>
              </w:rPr>
              <w:t>A B S T R A C T</w:t>
            </w:r>
          </w:p>
        </w:tc>
      </w:tr>
      <w:tr w:rsidR="004F23D2" w14:paraId="7F047094" w14:textId="77777777">
        <w:tc>
          <w:tcPr>
            <w:tcW w:w="1478" w:type="pct"/>
            <w:gridSpan w:val="2"/>
            <w:shd w:val="clear" w:color="auto" w:fill="F2F2F2"/>
          </w:tcPr>
          <w:p w14:paraId="3C87B9C2" w14:textId="77777777" w:rsidR="004F23D2" w:rsidRDefault="004F23D2">
            <w:pPr>
              <w:rPr>
                <w:rFonts w:cs="Calibri"/>
                <w:sz w:val="16"/>
                <w:szCs w:val="16"/>
              </w:rPr>
            </w:pPr>
          </w:p>
          <w:p w14:paraId="3DEE1A7F" w14:textId="77777777" w:rsidR="004F23D2" w:rsidRDefault="00000000">
            <w:pPr>
              <w:spacing w:line="360" w:lineRule="auto"/>
              <w:rPr>
                <w:b/>
                <w:bCs/>
                <w:sz w:val="20"/>
                <w:szCs w:val="20"/>
                <w:u w:val="single"/>
              </w:rPr>
            </w:pPr>
            <w:r>
              <w:rPr>
                <w:b/>
                <w:bCs/>
                <w:sz w:val="20"/>
                <w:szCs w:val="20"/>
                <w:u w:val="single"/>
              </w:rPr>
              <w:t>Corresponding Author:</w:t>
            </w:r>
          </w:p>
          <w:p w14:paraId="47726BF1" w14:textId="77777777" w:rsidR="00D148E3" w:rsidRDefault="00D148E3">
            <w:pPr>
              <w:rPr>
                <w:rFonts w:cs="Arial"/>
                <w:b/>
                <w:bCs/>
                <w:sz w:val="20"/>
                <w:szCs w:val="20"/>
              </w:rPr>
            </w:pPr>
            <w:r w:rsidRPr="00D148E3">
              <w:rPr>
                <w:rFonts w:cs="Arial"/>
                <w:b/>
                <w:bCs/>
                <w:sz w:val="20"/>
                <w:szCs w:val="20"/>
              </w:rPr>
              <w:t>Dr. Priyanka Chahal</w:t>
            </w:r>
          </w:p>
          <w:p w14:paraId="17285EFB" w14:textId="3E9E2510" w:rsidR="007B145C" w:rsidRDefault="009844F9">
            <w:pPr>
              <w:rPr>
                <w:i/>
                <w:iCs/>
                <w:sz w:val="19"/>
                <w:szCs w:val="19"/>
              </w:rPr>
            </w:pPr>
            <w:r w:rsidRPr="009844F9">
              <w:rPr>
                <w:rFonts w:cs="Arial"/>
                <w:b/>
                <w:bCs/>
                <w:sz w:val="20"/>
                <w:szCs w:val="20"/>
              </w:rPr>
              <w:t xml:space="preserve"> </w:t>
            </w:r>
            <w:r w:rsidR="00D148E3" w:rsidRPr="00D148E3">
              <w:rPr>
                <w:i/>
                <w:iCs/>
                <w:sz w:val="19"/>
                <w:szCs w:val="19"/>
              </w:rPr>
              <w:t xml:space="preserve">1Associate Professor, Department of Forensic Medicine, Dr SS </w:t>
            </w:r>
            <w:proofErr w:type="spellStart"/>
            <w:r w:rsidR="00D148E3" w:rsidRPr="00D148E3">
              <w:rPr>
                <w:i/>
                <w:iCs/>
                <w:sz w:val="19"/>
                <w:szCs w:val="19"/>
              </w:rPr>
              <w:t>Tantia</w:t>
            </w:r>
            <w:proofErr w:type="spellEnd"/>
            <w:r w:rsidR="00D148E3" w:rsidRPr="00D148E3">
              <w:rPr>
                <w:i/>
                <w:iCs/>
                <w:sz w:val="19"/>
                <w:szCs w:val="19"/>
              </w:rPr>
              <w:t xml:space="preserve"> Medical College and Hospital, </w:t>
            </w:r>
            <w:proofErr w:type="spellStart"/>
            <w:r w:rsidR="00D148E3" w:rsidRPr="00D148E3">
              <w:rPr>
                <w:i/>
                <w:iCs/>
                <w:sz w:val="19"/>
                <w:szCs w:val="19"/>
              </w:rPr>
              <w:t>Sriganganagar</w:t>
            </w:r>
            <w:proofErr w:type="spellEnd"/>
            <w:r w:rsidR="00D148E3" w:rsidRPr="00D148E3">
              <w:rPr>
                <w:i/>
                <w:iCs/>
                <w:sz w:val="19"/>
                <w:szCs w:val="19"/>
              </w:rPr>
              <w:t xml:space="preserve">, </w:t>
            </w:r>
            <w:proofErr w:type="gramStart"/>
            <w:r w:rsidR="00D148E3" w:rsidRPr="00D148E3">
              <w:rPr>
                <w:i/>
                <w:iCs/>
                <w:sz w:val="19"/>
                <w:szCs w:val="19"/>
              </w:rPr>
              <w:t>Rajasthan  (</w:t>
            </w:r>
            <w:proofErr w:type="gramEnd"/>
            <w:r w:rsidR="00D148E3">
              <w:rPr>
                <w:i/>
                <w:iCs/>
                <w:sz w:val="19"/>
                <w:szCs w:val="19"/>
              </w:rPr>
              <w:fldChar w:fldCharType="begin"/>
            </w:r>
            <w:r w:rsidR="00D148E3">
              <w:rPr>
                <w:i/>
                <w:iCs/>
                <w:sz w:val="19"/>
                <w:szCs w:val="19"/>
              </w:rPr>
              <w:instrText>HYPERLINK "mailto:</w:instrText>
            </w:r>
            <w:r w:rsidR="00D148E3" w:rsidRPr="00D148E3">
              <w:rPr>
                <w:i/>
                <w:iCs/>
                <w:sz w:val="19"/>
                <w:szCs w:val="19"/>
              </w:rPr>
              <w:instrText>chahalpriyanka938@gmail.com</w:instrText>
            </w:r>
            <w:r w:rsidR="00D148E3">
              <w:rPr>
                <w:i/>
                <w:iCs/>
                <w:sz w:val="19"/>
                <w:szCs w:val="19"/>
              </w:rPr>
              <w:instrText>"</w:instrText>
            </w:r>
            <w:r w:rsidR="00D148E3">
              <w:rPr>
                <w:i/>
                <w:iCs/>
                <w:sz w:val="19"/>
                <w:szCs w:val="19"/>
              </w:rPr>
              <w:fldChar w:fldCharType="separate"/>
            </w:r>
            <w:r w:rsidR="00D148E3" w:rsidRPr="00DB2E8B">
              <w:rPr>
                <w:rStyle w:val="Hyperlink"/>
                <w:rFonts w:cs="SimSun"/>
                <w:i/>
                <w:iCs/>
                <w:sz w:val="19"/>
                <w:szCs w:val="19"/>
              </w:rPr>
              <w:t>chahalpriyanka938@gmail.com</w:t>
            </w:r>
            <w:r w:rsidR="00D148E3">
              <w:rPr>
                <w:i/>
                <w:iCs/>
                <w:sz w:val="19"/>
                <w:szCs w:val="19"/>
              </w:rPr>
              <w:fldChar w:fldCharType="end"/>
            </w:r>
            <w:r w:rsidR="00D148E3" w:rsidRPr="00D148E3">
              <w:rPr>
                <w:i/>
                <w:iCs/>
                <w:sz w:val="19"/>
                <w:szCs w:val="19"/>
              </w:rPr>
              <w:t>)</w:t>
            </w:r>
            <w:r w:rsidR="00D148E3">
              <w:rPr>
                <w:i/>
                <w:iCs/>
                <w:sz w:val="19"/>
                <w:szCs w:val="19"/>
              </w:rPr>
              <w:t xml:space="preserve"> </w:t>
            </w:r>
          </w:p>
          <w:p w14:paraId="69896B4A" w14:textId="77777777" w:rsidR="004F23D2" w:rsidRDefault="004F23D2">
            <w:pPr>
              <w:rPr>
                <w:i/>
                <w:iCs/>
                <w:sz w:val="19"/>
                <w:szCs w:val="19"/>
              </w:rPr>
            </w:pPr>
          </w:p>
          <w:p w14:paraId="57E5E3CD" w14:textId="0DE6E6BF" w:rsidR="004F23D2" w:rsidRDefault="00000000">
            <w:pPr>
              <w:widowControl w:val="0"/>
              <w:autoSpaceDE w:val="0"/>
              <w:autoSpaceDN w:val="0"/>
              <w:rPr>
                <w:rFonts w:ascii="Times New Roman" w:hAnsi="Times New Roman"/>
                <w:i/>
                <w:iCs/>
                <w:sz w:val="20"/>
                <w:szCs w:val="20"/>
              </w:rPr>
            </w:pPr>
            <w:r>
              <w:rPr>
                <w:rFonts w:ascii="Times New Roman" w:hAnsi="Times New Roman"/>
                <w:i/>
                <w:iCs/>
                <w:sz w:val="20"/>
                <w:szCs w:val="20"/>
              </w:rPr>
              <w:t xml:space="preserve">Received: </w:t>
            </w:r>
            <w:r w:rsidR="002719D0">
              <w:rPr>
                <w:rFonts w:ascii="Times New Roman" w:hAnsi="Times New Roman"/>
                <w:i/>
                <w:iCs/>
                <w:sz w:val="20"/>
                <w:szCs w:val="20"/>
              </w:rPr>
              <w:t>17</w:t>
            </w:r>
            <w:r>
              <w:rPr>
                <w:rFonts w:ascii="Times New Roman" w:hAnsi="Times New Roman"/>
                <w:i/>
                <w:iCs/>
                <w:sz w:val="20"/>
                <w:szCs w:val="20"/>
              </w:rPr>
              <w:t>-01-2026</w:t>
            </w:r>
          </w:p>
          <w:p w14:paraId="29611B39" w14:textId="77777777" w:rsidR="004F23D2" w:rsidRDefault="00000000">
            <w:pPr>
              <w:widowControl w:val="0"/>
              <w:autoSpaceDE w:val="0"/>
              <w:autoSpaceDN w:val="0"/>
              <w:rPr>
                <w:rFonts w:ascii="Times New Roman" w:hAnsi="Times New Roman"/>
                <w:i/>
                <w:iCs/>
                <w:sz w:val="20"/>
                <w:szCs w:val="20"/>
              </w:rPr>
            </w:pPr>
            <w:r>
              <w:rPr>
                <w:rFonts w:ascii="Times New Roman" w:hAnsi="Times New Roman"/>
                <w:i/>
                <w:iCs/>
                <w:sz w:val="20"/>
                <w:szCs w:val="20"/>
              </w:rPr>
              <w:t>Accepted: 10-02-2026</w:t>
            </w:r>
          </w:p>
          <w:p w14:paraId="0D5E14D4" w14:textId="2E9DE4BA" w:rsidR="004F23D2" w:rsidRDefault="00000000">
            <w:pPr>
              <w:widowControl w:val="0"/>
              <w:autoSpaceDE w:val="0"/>
              <w:autoSpaceDN w:val="0"/>
              <w:rPr>
                <w:rFonts w:ascii="Times New Roman" w:hAnsi="Times New Roman"/>
                <w:i/>
                <w:iCs/>
                <w:sz w:val="20"/>
                <w:szCs w:val="20"/>
              </w:rPr>
            </w:pPr>
            <w:r>
              <w:rPr>
                <w:rFonts w:ascii="Times New Roman" w:hAnsi="Times New Roman"/>
                <w:i/>
                <w:iCs/>
                <w:sz w:val="20"/>
                <w:szCs w:val="20"/>
              </w:rPr>
              <w:t xml:space="preserve">Available online: </w:t>
            </w:r>
            <w:r w:rsidR="005F33FA">
              <w:rPr>
                <w:rFonts w:ascii="Times New Roman" w:hAnsi="Times New Roman"/>
                <w:i/>
                <w:iCs/>
                <w:sz w:val="20"/>
                <w:szCs w:val="20"/>
              </w:rPr>
              <w:t>21</w:t>
            </w:r>
            <w:r>
              <w:rPr>
                <w:rFonts w:ascii="Times New Roman" w:hAnsi="Times New Roman"/>
                <w:i/>
                <w:iCs/>
                <w:sz w:val="20"/>
                <w:szCs w:val="20"/>
              </w:rPr>
              <w:t>-02-2026</w:t>
            </w:r>
          </w:p>
          <w:p w14:paraId="6D51C88D" w14:textId="77777777" w:rsidR="004F23D2" w:rsidRDefault="004F23D2">
            <w:pPr>
              <w:rPr>
                <w:sz w:val="20"/>
                <w:szCs w:val="20"/>
              </w:rPr>
            </w:pPr>
          </w:p>
          <w:p w14:paraId="7587CA9F" w14:textId="77777777" w:rsidR="004F23D2" w:rsidRDefault="004F23D2">
            <w:pPr>
              <w:rPr>
                <w:i/>
                <w:iCs/>
                <w:sz w:val="16"/>
                <w:szCs w:val="16"/>
              </w:rPr>
            </w:pPr>
          </w:p>
        </w:tc>
        <w:tc>
          <w:tcPr>
            <w:tcW w:w="3522" w:type="pct"/>
          </w:tcPr>
          <w:p w14:paraId="32F03181" w14:textId="77777777" w:rsidR="0067319D" w:rsidRPr="0085183C" w:rsidRDefault="0067319D" w:rsidP="0067319D">
            <w:pPr>
              <w:jc w:val="both"/>
              <w:rPr>
                <w:rFonts w:ascii="Times New Roman" w:hAnsi="Times New Roman"/>
                <w:sz w:val="20"/>
                <w:szCs w:val="20"/>
              </w:rPr>
            </w:pPr>
            <w:r w:rsidRPr="0067319D">
              <w:rPr>
                <w:rFonts w:ascii="Times New Roman" w:hAnsi="Times New Roman"/>
                <w:b/>
                <w:bCs/>
                <w:sz w:val="20"/>
                <w:szCs w:val="20"/>
              </w:rPr>
              <w:t>Background</w:t>
            </w:r>
            <w:r w:rsidRPr="0085183C">
              <w:rPr>
                <w:rFonts w:ascii="Times New Roman" w:hAnsi="Times New Roman"/>
                <w:sz w:val="20"/>
                <w:szCs w:val="20"/>
              </w:rPr>
              <w:t xml:space="preserve">: Near-peer teaching (NPT) is widely used in medical education but evidence from the study area is limited. We evaluated a structured NPT </w:t>
            </w:r>
            <w:proofErr w:type="spellStart"/>
            <w:r w:rsidRPr="0085183C">
              <w:rPr>
                <w:rFonts w:ascii="Times New Roman" w:hAnsi="Times New Roman"/>
                <w:sz w:val="20"/>
                <w:szCs w:val="20"/>
              </w:rPr>
              <w:t>programme</w:t>
            </w:r>
            <w:proofErr w:type="spellEnd"/>
            <w:r w:rsidRPr="0085183C">
              <w:rPr>
                <w:rFonts w:ascii="Times New Roman" w:hAnsi="Times New Roman"/>
                <w:sz w:val="20"/>
                <w:szCs w:val="20"/>
              </w:rPr>
              <w:t xml:space="preserve"> vs standard faculty-led teaching on Objective Structured Clinical Examination (OSCE) performance and learner confidence among MBBS third-year students.</w:t>
            </w:r>
          </w:p>
          <w:p w14:paraId="43A7EA8B" w14:textId="77777777" w:rsidR="0067319D" w:rsidRPr="0085183C" w:rsidRDefault="0067319D" w:rsidP="0067319D">
            <w:pPr>
              <w:jc w:val="both"/>
              <w:rPr>
                <w:rFonts w:ascii="Times New Roman" w:hAnsi="Times New Roman"/>
                <w:sz w:val="20"/>
                <w:szCs w:val="20"/>
              </w:rPr>
            </w:pPr>
            <w:r w:rsidRPr="0067319D">
              <w:rPr>
                <w:rFonts w:ascii="Times New Roman" w:hAnsi="Times New Roman"/>
                <w:b/>
                <w:bCs/>
                <w:sz w:val="20"/>
                <w:szCs w:val="20"/>
              </w:rPr>
              <w:t>Methods</w:t>
            </w:r>
            <w:r w:rsidRPr="0085183C">
              <w:rPr>
                <w:rFonts w:ascii="Times New Roman" w:hAnsi="Times New Roman"/>
                <w:sz w:val="20"/>
                <w:szCs w:val="20"/>
              </w:rPr>
              <w:t>: Single-</w:t>
            </w:r>
            <w:proofErr w:type="spellStart"/>
            <w:r w:rsidRPr="0085183C">
              <w:rPr>
                <w:rFonts w:ascii="Times New Roman" w:hAnsi="Times New Roman"/>
                <w:sz w:val="20"/>
                <w:szCs w:val="20"/>
              </w:rPr>
              <w:t>centre</w:t>
            </w:r>
            <w:proofErr w:type="spellEnd"/>
            <w:r w:rsidRPr="0085183C">
              <w:rPr>
                <w:rFonts w:ascii="Times New Roman" w:hAnsi="Times New Roman"/>
                <w:sz w:val="20"/>
                <w:szCs w:val="20"/>
              </w:rPr>
              <w:t>, prospective comparative interventional study conducted among MBBS third-year students. Ninety consenting students were allocated in parallel groups based on existing academic batch divisions to receive six weekly 90-minute clinical skills sessions delivered either by trained near-peer tutors (Intervention, n=45) or by faculty (Control, n=45). The primary outcome was OSCE score (0–100) assessed one week after completion of sessions. Secondary outcomes included pre- and post-intervention MCQ knowledge test (0–30), self-reported confidence (5-point Likert scale), and student satisfaction. Between-group comparisons were performed using Welch’s two-sample t-test; within-group changes were analyzed using paired t-tests and Wilcoxon signed-rank tests. Categorical variables were compared using chi-square test.</w:t>
            </w:r>
          </w:p>
          <w:p w14:paraId="1BDDB7AE" w14:textId="77777777" w:rsidR="0067319D" w:rsidRPr="0085183C" w:rsidRDefault="0067319D" w:rsidP="0067319D">
            <w:pPr>
              <w:jc w:val="both"/>
              <w:rPr>
                <w:rFonts w:ascii="Times New Roman" w:hAnsi="Times New Roman"/>
                <w:sz w:val="20"/>
                <w:szCs w:val="20"/>
              </w:rPr>
            </w:pPr>
            <w:r w:rsidRPr="0067319D">
              <w:rPr>
                <w:rFonts w:ascii="Times New Roman" w:hAnsi="Times New Roman"/>
                <w:b/>
                <w:bCs/>
                <w:sz w:val="20"/>
                <w:szCs w:val="20"/>
              </w:rPr>
              <w:t>Results</w:t>
            </w:r>
            <w:r w:rsidRPr="0085183C">
              <w:rPr>
                <w:rFonts w:ascii="Times New Roman" w:hAnsi="Times New Roman"/>
                <w:sz w:val="20"/>
                <w:szCs w:val="20"/>
              </w:rPr>
              <w:t>: Mean OSCE score was higher in the Near-Peer group (</w:t>
            </w:r>
            <w:proofErr w:type="spellStart"/>
            <w:r w:rsidRPr="0085183C">
              <w:rPr>
                <w:rFonts w:ascii="Times New Roman" w:hAnsi="Times New Roman"/>
                <w:sz w:val="20"/>
                <w:szCs w:val="20"/>
              </w:rPr>
              <w:t>mean±SD</w:t>
            </w:r>
            <w:proofErr w:type="spellEnd"/>
            <w:r w:rsidRPr="0085183C">
              <w:rPr>
                <w:rFonts w:ascii="Times New Roman" w:hAnsi="Times New Roman"/>
                <w:sz w:val="20"/>
                <w:szCs w:val="20"/>
              </w:rPr>
              <w:t xml:space="preserve"> 78.04±7.78) vs Faculty group (72.11±8.85); mean difference 5.93 (95% CI 2.81 to 9.05), t≈3.05, p=0.003. MCQ post-test means were 23.11±2.85 (Near-Peer) vs 20.84±3.10 (Faculty); mean difference 2.27 (95% CI 1.12 to 3.42), p&lt;0.001. Both groups improved significantly from baseline (paired p&lt;0.001 for Near-Peer; p=0.002 for Faculty). Median post-intervention confidence increased in both groups (Wilcoxon p&lt;0.001 Near-Peer; p=0.01 Faculty). High satisfaction (≥4/5) was reported by 78% in Near-Peer vs 58% in Faculty (χ² p=0.04).</w:t>
            </w:r>
          </w:p>
          <w:p w14:paraId="2DFDAB8E" w14:textId="23DC583E" w:rsidR="004F23D2" w:rsidRDefault="0067319D" w:rsidP="0067319D">
            <w:pPr>
              <w:jc w:val="both"/>
              <w:rPr>
                <w:rFonts w:ascii="Times New Roman" w:hAnsi="Times New Roman"/>
                <w:bCs/>
                <w:sz w:val="20"/>
                <w:szCs w:val="20"/>
              </w:rPr>
            </w:pPr>
            <w:r w:rsidRPr="0067319D">
              <w:rPr>
                <w:rFonts w:ascii="Times New Roman" w:hAnsi="Times New Roman"/>
                <w:b/>
                <w:bCs/>
                <w:sz w:val="20"/>
                <w:szCs w:val="20"/>
              </w:rPr>
              <w:t>Conclusion</w:t>
            </w:r>
            <w:r w:rsidRPr="0085183C">
              <w:rPr>
                <w:rFonts w:ascii="Times New Roman" w:hAnsi="Times New Roman"/>
                <w:sz w:val="20"/>
                <w:szCs w:val="20"/>
              </w:rPr>
              <w:t>: In this study, a structured near-peer teaching program was associated with higher OSCE and MCQ scores and greater satisfaction than faculty-led sessions</w:t>
            </w:r>
            <w:r w:rsidR="00000000" w:rsidRPr="00AB0E18">
              <w:rPr>
                <w:rFonts w:ascii="Times New Roman" w:hAnsi="Times New Roman"/>
                <w:sz w:val="20"/>
                <w:szCs w:val="20"/>
              </w:rPr>
              <w:t>.</w:t>
            </w:r>
          </w:p>
          <w:p w14:paraId="77AB3B07" w14:textId="77777777" w:rsidR="004F23D2" w:rsidRDefault="004F23D2">
            <w:pPr>
              <w:ind w:left="60"/>
              <w:jc w:val="both"/>
              <w:rPr>
                <w:rFonts w:ascii="Times New Roman" w:hAnsi="Times New Roman"/>
                <w:bCs/>
                <w:sz w:val="20"/>
                <w:szCs w:val="20"/>
              </w:rPr>
            </w:pPr>
          </w:p>
        </w:tc>
      </w:tr>
      <w:tr w:rsidR="004F23D2" w14:paraId="3582E3C5" w14:textId="77777777">
        <w:tc>
          <w:tcPr>
            <w:tcW w:w="1478" w:type="pct"/>
            <w:gridSpan w:val="2"/>
            <w:shd w:val="clear" w:color="auto" w:fill="F2F2F2"/>
          </w:tcPr>
          <w:p w14:paraId="685FD37A" w14:textId="77777777" w:rsidR="004F23D2" w:rsidRDefault="00000000">
            <w:pPr>
              <w:rPr>
                <w:i/>
                <w:iCs/>
                <w:sz w:val="16"/>
                <w:szCs w:val="16"/>
              </w:rPr>
            </w:pPr>
            <w:r>
              <w:rPr>
                <w:b/>
                <w:bCs/>
                <w:i/>
                <w:iCs/>
                <w:sz w:val="16"/>
                <w:szCs w:val="16"/>
              </w:rPr>
              <w:t xml:space="preserve">Copyright © </w:t>
            </w:r>
            <w:r>
              <w:rPr>
                <w:i/>
                <w:iCs/>
                <w:sz w:val="16"/>
                <w:szCs w:val="16"/>
              </w:rPr>
              <w:t>International Journal of Medical and Pharmaceutical Research</w:t>
            </w:r>
          </w:p>
        </w:tc>
        <w:tc>
          <w:tcPr>
            <w:tcW w:w="3522" w:type="pct"/>
          </w:tcPr>
          <w:p w14:paraId="3F40D6F2" w14:textId="3F19F12A" w:rsidR="004F23D2" w:rsidRPr="00982CEF" w:rsidRDefault="00000000" w:rsidP="00982CEF">
            <w:pPr>
              <w:pStyle w:val="BodyText"/>
              <w:ind w:left="0"/>
            </w:pPr>
            <w:r>
              <w:rPr>
                <w:b/>
                <w:bCs/>
                <w:i/>
                <w:iCs/>
              </w:rPr>
              <w:t>Keywords</w:t>
            </w:r>
            <w:r>
              <w:rPr>
                <w:i/>
                <w:iCs/>
              </w:rPr>
              <w:t>:</w:t>
            </w:r>
            <w:r>
              <w:t xml:space="preserve"> </w:t>
            </w:r>
            <w:r w:rsidR="004A1303" w:rsidRPr="0085183C">
              <w:t>near-peer teaching, peer-assisted learning, OSCE, medical education, randomized controlled tria</w:t>
            </w:r>
            <w:r w:rsidR="00A645CB">
              <w:t>l</w:t>
            </w:r>
            <w:r w:rsidR="00BC59FA" w:rsidRPr="00872CB1">
              <w:t>.</w:t>
            </w:r>
          </w:p>
        </w:tc>
      </w:tr>
      <w:bookmarkEnd w:id="0"/>
    </w:tbl>
    <w:p w14:paraId="7968DEF2" w14:textId="77777777" w:rsidR="004F23D2" w:rsidRDefault="004F23D2">
      <w:pPr>
        <w:spacing w:after="0" w:line="240" w:lineRule="auto"/>
        <w:jc w:val="both"/>
        <w:rPr>
          <w:rFonts w:ascii="Times New Roman" w:hAnsi="Times New Roman" w:cs="Times New Roman"/>
          <w:color w:val="0A0A0A"/>
          <w:sz w:val="20"/>
          <w:szCs w:val="20"/>
          <w:shd w:val="clear" w:color="auto" w:fill="FFFFFF"/>
        </w:rPr>
      </w:pPr>
    </w:p>
    <w:p w14:paraId="473DD6B6" w14:textId="77777777" w:rsidR="004F23D2" w:rsidRDefault="00000000">
      <w:pPr>
        <w:widowControl w:val="0"/>
        <w:autoSpaceDE w:val="0"/>
        <w:autoSpaceDN w:val="0"/>
        <w:adjustRightInd w:val="0"/>
        <w:spacing w:after="0" w:line="240" w:lineRule="auto"/>
        <w:jc w:val="both"/>
        <w:rPr>
          <w:rFonts w:ascii="Times New Roman" w:hAnsi="Times New Roman" w:cs="Times New Roman"/>
          <w:b/>
          <w:color w:val="404040"/>
          <w:kern w:val="24"/>
          <w:sz w:val="20"/>
          <w:szCs w:val="20"/>
          <w:u w:val="single"/>
          <w:lang w:val="en-US"/>
        </w:rPr>
      </w:pPr>
      <w:r>
        <w:rPr>
          <w:rFonts w:ascii="Times New Roman" w:hAnsi="Times New Roman" w:cs="Times New Roman"/>
          <w:b/>
          <w:color w:val="404040"/>
          <w:kern w:val="24"/>
          <w:sz w:val="20"/>
          <w:szCs w:val="20"/>
          <w:lang w:val="en-US"/>
        </w:rPr>
        <w:t>INTRODUCTION</w:t>
      </w:r>
    </w:p>
    <w:p w14:paraId="0C39A362" w14:textId="77777777" w:rsidR="0096645B" w:rsidRDefault="0096645B" w:rsidP="0096645B">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Effective acquisition of clinical skills, history taking, physical examination, communication, and basic procedural competencies, forms the core of undergraduate medical education and is a primary focus of MBBS third-year training, when students first transition from preclinical knowledge to hands-on patient care. Third-year clinical postings therefore represent a crucial “gateway” for translating theoretical learning into practical competence and professional behaviour.</w:t>
      </w:r>
      <w:r w:rsidRPr="0085183C">
        <w:rPr>
          <w:rFonts w:ascii="Times New Roman" w:hAnsi="Times New Roman" w:cs="Times New Roman"/>
          <w:sz w:val="20"/>
          <w:szCs w:val="20"/>
          <w:vertAlign w:val="superscript"/>
        </w:rPr>
        <w:t>1</w:t>
      </w:r>
    </w:p>
    <w:p w14:paraId="31E4DE64" w14:textId="343462EB" w:rsidR="004E1B1D" w:rsidRPr="004E1B1D" w:rsidRDefault="004E1B1D" w:rsidP="004E1B1D">
      <w:pPr>
        <w:tabs>
          <w:tab w:val="left" w:pos="1992"/>
        </w:tabs>
        <w:rPr>
          <w:rFonts w:ascii="Times New Roman" w:hAnsi="Times New Roman" w:cs="Times New Roman"/>
          <w:sz w:val="20"/>
          <w:szCs w:val="20"/>
        </w:rPr>
      </w:pPr>
      <w:r>
        <w:rPr>
          <w:rFonts w:ascii="Times New Roman" w:hAnsi="Times New Roman" w:cs="Times New Roman"/>
          <w:sz w:val="20"/>
          <w:szCs w:val="20"/>
        </w:rPr>
        <w:tab/>
      </w:r>
    </w:p>
    <w:p w14:paraId="1A3D9CB4" w14:textId="77777777" w:rsidR="0096645B" w:rsidRDefault="0096645B" w:rsidP="0096645B">
      <w:pPr>
        <w:spacing w:after="0" w:line="240" w:lineRule="auto"/>
        <w:jc w:val="both"/>
        <w:rPr>
          <w:rFonts w:ascii="Times New Roman" w:hAnsi="Times New Roman" w:cs="Times New Roman"/>
          <w:sz w:val="20"/>
          <w:szCs w:val="20"/>
          <w:vertAlign w:val="superscript"/>
        </w:rPr>
      </w:pPr>
      <w:r w:rsidRPr="0085183C">
        <w:rPr>
          <w:rFonts w:ascii="Times New Roman" w:hAnsi="Times New Roman" w:cs="Times New Roman"/>
          <w:sz w:val="20"/>
          <w:szCs w:val="20"/>
        </w:rPr>
        <w:lastRenderedPageBreak/>
        <w:t>Traditional faculty-led teaching remains essential, but increasing class sizes, limited faculty time, and the need for repeated, low-stakes practice have driven medical schools to explore complementary teaching models. One widely used approach is near-peer teaching (NPT)—a structured form of peer-assisted learning in which senior students (near peers) teach and supervise more junior students. Near-peer instructors are typically close in training stage to their learners and can offer cognitive and social congruence that helps demystify clinical tasks, lower learners’ anxiety, and create opportunities for frequent, contextualised practice.</w:t>
      </w:r>
      <w:r w:rsidRPr="0085183C">
        <w:rPr>
          <w:rFonts w:ascii="Times New Roman" w:hAnsi="Times New Roman" w:cs="Times New Roman"/>
          <w:sz w:val="20"/>
          <w:szCs w:val="20"/>
          <w:vertAlign w:val="superscript"/>
        </w:rPr>
        <w:t>2</w:t>
      </w:r>
    </w:p>
    <w:p w14:paraId="5B2A1A3D" w14:textId="77777777" w:rsidR="0096645B" w:rsidRPr="0085183C" w:rsidRDefault="0096645B" w:rsidP="0096645B">
      <w:pPr>
        <w:spacing w:after="0" w:line="240" w:lineRule="auto"/>
        <w:jc w:val="both"/>
        <w:rPr>
          <w:rFonts w:ascii="Times New Roman" w:hAnsi="Times New Roman" w:cs="Times New Roman"/>
          <w:sz w:val="20"/>
          <w:szCs w:val="20"/>
        </w:rPr>
      </w:pPr>
    </w:p>
    <w:p w14:paraId="48B15E69" w14:textId="77777777" w:rsidR="0096645B" w:rsidRDefault="0096645B" w:rsidP="0096645B">
      <w:pPr>
        <w:spacing w:after="0" w:line="240" w:lineRule="auto"/>
        <w:jc w:val="both"/>
        <w:rPr>
          <w:rFonts w:ascii="Times New Roman" w:hAnsi="Times New Roman" w:cs="Times New Roman"/>
          <w:sz w:val="20"/>
          <w:szCs w:val="20"/>
          <w:vertAlign w:val="superscript"/>
        </w:rPr>
      </w:pPr>
      <w:r w:rsidRPr="0085183C">
        <w:rPr>
          <w:rFonts w:ascii="Times New Roman" w:hAnsi="Times New Roman" w:cs="Times New Roman"/>
          <w:sz w:val="20"/>
          <w:szCs w:val="20"/>
        </w:rPr>
        <w:t>A growing body of evidence suggests that peer-assisted and near-peer teaching can produce learning outcomes comparable to faculty instruction for many practical skills, and in some studies, superior gains in procedural performance and learner confidence. Systematic reviews and meta-analyses of peer-assisted learning in health professions education report significant positive effects on procedural/psychomotor skill acquisition and on self-reported confidence or self-efficacy, while often finding equivalent performance on knowledge tests compared with conventional methods.</w:t>
      </w:r>
      <w:r w:rsidRPr="0085183C">
        <w:rPr>
          <w:rFonts w:ascii="Times New Roman" w:hAnsi="Times New Roman" w:cs="Times New Roman"/>
          <w:sz w:val="20"/>
          <w:szCs w:val="20"/>
          <w:vertAlign w:val="superscript"/>
        </w:rPr>
        <w:t>3</w:t>
      </w:r>
    </w:p>
    <w:p w14:paraId="449CC612" w14:textId="77777777" w:rsidR="0096645B" w:rsidRPr="0085183C" w:rsidRDefault="0096645B" w:rsidP="0096645B">
      <w:pPr>
        <w:spacing w:after="0" w:line="240" w:lineRule="auto"/>
        <w:jc w:val="both"/>
        <w:rPr>
          <w:rFonts w:ascii="Times New Roman" w:hAnsi="Times New Roman" w:cs="Times New Roman"/>
          <w:sz w:val="20"/>
          <w:szCs w:val="20"/>
        </w:rPr>
      </w:pPr>
    </w:p>
    <w:p w14:paraId="577FC4C0" w14:textId="77777777" w:rsidR="0096645B" w:rsidRDefault="0096645B" w:rsidP="0096645B">
      <w:pPr>
        <w:spacing w:after="0" w:line="240" w:lineRule="auto"/>
        <w:jc w:val="both"/>
        <w:rPr>
          <w:rFonts w:ascii="Times New Roman" w:hAnsi="Times New Roman" w:cs="Times New Roman"/>
          <w:sz w:val="20"/>
          <w:szCs w:val="20"/>
          <w:vertAlign w:val="superscript"/>
        </w:rPr>
      </w:pPr>
      <w:r w:rsidRPr="0085183C">
        <w:rPr>
          <w:rFonts w:ascii="Times New Roman" w:hAnsi="Times New Roman" w:cs="Times New Roman"/>
          <w:sz w:val="20"/>
          <w:szCs w:val="20"/>
        </w:rPr>
        <w:t>Several single-centre and discipline-specific studies have shown that structured NPT interventions (for example, train-the-tutor programs, checklist-based skill sessions, or repeated bedside practice supervised by near peers) improve objective assessments such as OSCE/skills station scores and subjective outcomes such as learner satisfaction and confidence. However, the literature also highlights important heterogeneity in study designs, tutor training, outcome measures, and the rigour of comparisons with faculty-led teaching—limiting generalizability, especially in diverse curricular contexts such as MBBS programmes.</w:t>
      </w:r>
      <w:r w:rsidRPr="0085183C">
        <w:rPr>
          <w:rFonts w:ascii="Times New Roman" w:hAnsi="Times New Roman" w:cs="Times New Roman"/>
          <w:sz w:val="20"/>
          <w:szCs w:val="20"/>
          <w:vertAlign w:val="superscript"/>
        </w:rPr>
        <w:t>4-5</w:t>
      </w:r>
    </w:p>
    <w:p w14:paraId="13BDC4B6" w14:textId="77777777" w:rsidR="0096645B" w:rsidRPr="0085183C" w:rsidRDefault="0096645B" w:rsidP="0096645B">
      <w:pPr>
        <w:spacing w:after="0" w:line="240" w:lineRule="auto"/>
        <w:jc w:val="both"/>
        <w:rPr>
          <w:rFonts w:ascii="Times New Roman" w:hAnsi="Times New Roman" w:cs="Times New Roman"/>
          <w:sz w:val="20"/>
          <w:szCs w:val="20"/>
        </w:rPr>
      </w:pPr>
    </w:p>
    <w:p w14:paraId="5BABD516" w14:textId="77777777" w:rsidR="0096645B" w:rsidRPr="0085183C" w:rsidRDefault="0096645B" w:rsidP="0096645B">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In India, the competency-based MBBS curriculum explicitly emphasises early and structured skills training, recommending clear skill-modules and frequent supervised practice to ensure graduate competencies. Yet published evaluations of near-peer models within the Indian MBBS third-year context remain limited, and comparative evidence assessing both objective clinical performance and learner confidence is sparse. This gap is important because contextual factors (class size, clinical exposure, resource constraints, and cultural expectations) may modify the effectiveness of NPT programmes.</w:t>
      </w:r>
      <w:r w:rsidRPr="0085183C">
        <w:rPr>
          <w:rFonts w:ascii="Times New Roman" w:hAnsi="Times New Roman" w:cs="Times New Roman"/>
          <w:sz w:val="20"/>
          <w:szCs w:val="20"/>
          <w:vertAlign w:val="superscript"/>
        </w:rPr>
        <w:t>6</w:t>
      </w:r>
    </w:p>
    <w:p w14:paraId="114169D8" w14:textId="77777777" w:rsidR="0096645B" w:rsidRDefault="0096645B" w:rsidP="0096645B">
      <w:pPr>
        <w:widowControl w:val="0"/>
        <w:autoSpaceDE w:val="0"/>
        <w:autoSpaceDN w:val="0"/>
        <w:adjustRightInd w:val="0"/>
        <w:spacing w:after="0" w:line="240" w:lineRule="auto"/>
        <w:jc w:val="both"/>
        <w:rPr>
          <w:rFonts w:ascii="Times New Roman" w:hAnsi="Times New Roman" w:cs="Times New Roman"/>
          <w:sz w:val="20"/>
          <w:szCs w:val="20"/>
        </w:rPr>
      </w:pPr>
    </w:p>
    <w:p w14:paraId="2D3E9C16" w14:textId="7595DCB8" w:rsidR="004F23D2" w:rsidRPr="0096645B" w:rsidRDefault="0096645B" w:rsidP="0096645B">
      <w:pPr>
        <w:widowControl w:val="0"/>
        <w:autoSpaceDE w:val="0"/>
        <w:autoSpaceDN w:val="0"/>
        <w:adjustRightInd w:val="0"/>
        <w:spacing w:after="0" w:line="240" w:lineRule="auto"/>
        <w:jc w:val="both"/>
        <w:rPr>
          <w:rFonts w:ascii="Times New Roman" w:hAnsi="Times New Roman" w:cs="Times New Roman"/>
          <w:color w:val="404040"/>
          <w:kern w:val="24"/>
          <w:sz w:val="20"/>
          <w:szCs w:val="20"/>
          <w:lang w:val="en-US"/>
        </w:rPr>
      </w:pPr>
      <w:r w:rsidRPr="0096645B">
        <w:rPr>
          <w:rFonts w:ascii="Times New Roman" w:hAnsi="Times New Roman" w:cs="Times New Roman"/>
          <w:sz w:val="20"/>
          <w:szCs w:val="20"/>
        </w:rPr>
        <w:t>Therefore, this comparative study investigates the effect of a structured near-peer teaching programme on MBBS third-year students’ clinical skills performance (measured by objective skills assessments) and self-reported confidence, compared with the standard faculty-led teaching approach. By using standardised skill checklists, validated confidence measures, and a clearly defined tutor training protocol, the study aims to provide robust, context-specific evidence to inform curriculum planners considering scalable strategies to enhance clinical skills training</w:t>
      </w:r>
      <w:r w:rsidR="003D7138" w:rsidRPr="0096645B">
        <w:rPr>
          <w:rFonts w:ascii="Times New Roman" w:hAnsi="Times New Roman" w:cs="Times New Roman"/>
          <w:sz w:val="20"/>
          <w:szCs w:val="20"/>
        </w:rPr>
        <w:t>.</w:t>
      </w:r>
    </w:p>
    <w:p w14:paraId="55F6B8F4" w14:textId="77777777" w:rsidR="004F23D2" w:rsidRDefault="004F23D2">
      <w:pPr>
        <w:widowControl w:val="0"/>
        <w:autoSpaceDE w:val="0"/>
        <w:autoSpaceDN w:val="0"/>
        <w:adjustRightInd w:val="0"/>
        <w:spacing w:after="0" w:line="240" w:lineRule="auto"/>
        <w:jc w:val="both"/>
        <w:rPr>
          <w:rFonts w:ascii="Times New Roman" w:hAnsi="Times New Roman" w:cs="Times New Roman"/>
          <w:color w:val="404040"/>
          <w:kern w:val="24"/>
          <w:sz w:val="20"/>
          <w:szCs w:val="20"/>
          <w:lang w:val="en-US"/>
        </w:rPr>
      </w:pPr>
    </w:p>
    <w:p w14:paraId="752254FC" w14:textId="77777777" w:rsidR="004F23D2" w:rsidRDefault="00000000">
      <w:pPr>
        <w:widowControl w:val="0"/>
        <w:autoSpaceDE w:val="0"/>
        <w:autoSpaceDN w:val="0"/>
        <w:adjustRightInd w:val="0"/>
        <w:spacing w:after="0" w:line="240" w:lineRule="auto"/>
        <w:jc w:val="both"/>
        <w:rPr>
          <w:rFonts w:ascii="Times New Roman" w:hAnsi="Times New Roman" w:cs="Times New Roman"/>
          <w:b/>
          <w:color w:val="000000"/>
          <w:kern w:val="24"/>
          <w:sz w:val="20"/>
          <w:szCs w:val="20"/>
        </w:rPr>
      </w:pPr>
      <w:r>
        <w:rPr>
          <w:rFonts w:ascii="Times New Roman" w:hAnsi="Times New Roman" w:cs="Times New Roman"/>
          <w:b/>
          <w:color w:val="000000"/>
          <w:kern w:val="24"/>
          <w:sz w:val="20"/>
          <w:szCs w:val="20"/>
        </w:rPr>
        <w:t>MATERIAL AND METHODS</w:t>
      </w:r>
    </w:p>
    <w:p w14:paraId="4AD083F1" w14:textId="77777777"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Study Design and Setting</w:t>
      </w:r>
    </w:p>
    <w:p w14:paraId="3C62A3D2"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 xml:space="preserve">This prospective comparative interventional study was conducted at a single tertiary-care medical college among MBBS third-year students undergoing clinical postings in </w:t>
      </w:r>
      <w:proofErr w:type="spellStart"/>
      <w:r w:rsidRPr="0085183C">
        <w:rPr>
          <w:rFonts w:ascii="Times New Roman" w:hAnsi="Times New Roman" w:cs="Times New Roman"/>
          <w:bCs/>
          <w:sz w:val="20"/>
          <w:szCs w:val="20"/>
        </w:rPr>
        <w:t>Sriganganagar</w:t>
      </w:r>
      <w:proofErr w:type="spellEnd"/>
      <w:r w:rsidRPr="0085183C">
        <w:rPr>
          <w:rFonts w:ascii="Times New Roman" w:hAnsi="Times New Roman" w:cs="Times New Roman"/>
          <w:bCs/>
          <w:sz w:val="20"/>
          <w:szCs w:val="20"/>
        </w:rPr>
        <w:t>, Rajasthan, India. The study compared outcomes between students participating in a structured near-peer teaching program and those receiving conventional faculty-led instruction.</w:t>
      </w:r>
    </w:p>
    <w:p w14:paraId="63444B6A" w14:textId="77777777" w:rsidR="00720E23" w:rsidRDefault="00720E23" w:rsidP="00720E23">
      <w:pPr>
        <w:spacing w:after="0" w:line="240" w:lineRule="auto"/>
        <w:jc w:val="both"/>
        <w:rPr>
          <w:rFonts w:ascii="Times New Roman" w:hAnsi="Times New Roman" w:cs="Times New Roman"/>
          <w:b/>
          <w:sz w:val="20"/>
          <w:szCs w:val="20"/>
        </w:rPr>
      </w:pPr>
    </w:p>
    <w:p w14:paraId="2F337F04" w14:textId="3CCEC40F"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Participants</w:t>
      </w:r>
    </w:p>
    <w:p w14:paraId="659C7A1E"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Eligible participants included MBBS third-year students actively enrolled in clinical rotations during the study period. Students who had received formal training in the specific OSCE stations within the preceding three months were excluded to minimize prior exposure bias.</w:t>
      </w:r>
    </w:p>
    <w:p w14:paraId="3F05BD8B"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Participants were informed about the study through departmental announcements, and written informed consent was obtained prior to enrolment.</w:t>
      </w:r>
    </w:p>
    <w:p w14:paraId="0ADA86B6" w14:textId="77777777" w:rsidR="00720E23" w:rsidRDefault="00720E23" w:rsidP="00720E23">
      <w:pPr>
        <w:spacing w:after="0" w:line="240" w:lineRule="auto"/>
        <w:jc w:val="both"/>
        <w:rPr>
          <w:rFonts w:ascii="Times New Roman" w:hAnsi="Times New Roman" w:cs="Times New Roman"/>
          <w:b/>
          <w:sz w:val="20"/>
          <w:szCs w:val="20"/>
        </w:rPr>
      </w:pPr>
    </w:p>
    <w:p w14:paraId="5A4565DF" w14:textId="4E0E04CA"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Group Allocation</w:t>
      </w:r>
    </w:p>
    <w:p w14:paraId="3361F6D3"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Participants were allocated into two parallel groups based on existing academic batch divisions to maintain logistical feasibility and prevent contamination between sessions. One group received the near-peer teaching intervention, while the other underwent faculty-led instruction. Efforts were made to ensure comparable baseline characteristics between groups.</w:t>
      </w:r>
    </w:p>
    <w:p w14:paraId="5046DC2F"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OSCE examiners were blinded to group allocation to reduce assessment bias. Due to the nature of the intervention, students and tutors were not blinded.</w:t>
      </w:r>
    </w:p>
    <w:p w14:paraId="3EBB25E3" w14:textId="77777777" w:rsidR="00720E23" w:rsidRDefault="00720E23" w:rsidP="00720E23">
      <w:pPr>
        <w:spacing w:after="0" w:line="240" w:lineRule="auto"/>
        <w:jc w:val="both"/>
        <w:rPr>
          <w:rFonts w:ascii="Times New Roman" w:hAnsi="Times New Roman" w:cs="Times New Roman"/>
          <w:b/>
          <w:sz w:val="20"/>
          <w:szCs w:val="20"/>
        </w:rPr>
      </w:pPr>
    </w:p>
    <w:p w14:paraId="4979E79E" w14:textId="7C6EB8F9"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Interventions</w:t>
      </w:r>
    </w:p>
    <w:p w14:paraId="64B76B7E" w14:textId="77777777"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Near-Peer Teaching Group:</w:t>
      </w:r>
    </w:p>
    <w:p w14:paraId="6BA3AB78"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Students attended six weekly sessions of 90 minutes each, conducted by trained near-peer tutors (final-year MBBS students or interns). Each session followed standardized lesson plans and structured checklists aligned with OSCE competencies. Sessions included demonstration, supervised practice, structured feedback, and simulated OSCE stations.</w:t>
      </w:r>
    </w:p>
    <w:p w14:paraId="00F60D9D"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Near-peer tutors underwent two structured 2-hour preparatory workshops focusing on teaching methodology, checklist utilization, effective feedback delivery, and standardization of session content.</w:t>
      </w:r>
    </w:p>
    <w:p w14:paraId="76BBB059" w14:textId="77777777" w:rsidR="00720E23" w:rsidRDefault="00720E23" w:rsidP="00720E23">
      <w:pPr>
        <w:spacing w:after="0" w:line="240" w:lineRule="auto"/>
        <w:jc w:val="both"/>
        <w:rPr>
          <w:rFonts w:ascii="Times New Roman" w:hAnsi="Times New Roman" w:cs="Times New Roman"/>
          <w:b/>
          <w:sz w:val="20"/>
          <w:szCs w:val="20"/>
        </w:rPr>
      </w:pPr>
    </w:p>
    <w:p w14:paraId="7A74EC9D" w14:textId="2CA95201"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Faculty-Led Group:</w:t>
      </w:r>
    </w:p>
    <w:p w14:paraId="72A64628"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lastRenderedPageBreak/>
        <w:t>Students received six weekly 90-minute sessions covering identical clinical skills content and OSCE stations, delivered by faculty members as per routine institutional practice. The duration, learning objectives, and skill checklists were matched with the near-peer group to ensure content equivalence.</w:t>
      </w:r>
    </w:p>
    <w:p w14:paraId="7775FF7F" w14:textId="77777777" w:rsidR="00720E23" w:rsidRDefault="00720E23" w:rsidP="00720E23">
      <w:pPr>
        <w:spacing w:after="0" w:line="240" w:lineRule="auto"/>
        <w:jc w:val="both"/>
        <w:rPr>
          <w:rFonts w:ascii="Times New Roman" w:hAnsi="Times New Roman" w:cs="Times New Roman"/>
          <w:b/>
          <w:sz w:val="20"/>
          <w:szCs w:val="20"/>
        </w:rPr>
      </w:pPr>
    </w:p>
    <w:p w14:paraId="6FDE7353" w14:textId="19694B2F"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Outcome Measures</w:t>
      </w:r>
    </w:p>
    <w:p w14:paraId="43FB2EAA" w14:textId="77777777"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Primary Outcome:</w:t>
      </w:r>
    </w:p>
    <w:p w14:paraId="1639FECF"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Clinical skills performance assessed by Objective Structured Clinical Examination (OSCE) conducted one week after completion of the intervention. The OSCE comprised six standardized stations evaluated using validated checklists, with total scores ranging from 0 to 100.</w:t>
      </w:r>
    </w:p>
    <w:p w14:paraId="5E037ABD" w14:textId="77777777" w:rsidR="00720E23" w:rsidRDefault="00720E23" w:rsidP="00720E23">
      <w:pPr>
        <w:spacing w:after="0" w:line="240" w:lineRule="auto"/>
        <w:jc w:val="both"/>
        <w:rPr>
          <w:rFonts w:ascii="Times New Roman" w:hAnsi="Times New Roman" w:cs="Times New Roman"/>
          <w:b/>
          <w:sz w:val="20"/>
          <w:szCs w:val="20"/>
        </w:rPr>
      </w:pPr>
    </w:p>
    <w:p w14:paraId="49F116E0" w14:textId="04D79889"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Secondary Outcomes:</w:t>
      </w:r>
    </w:p>
    <w:p w14:paraId="41077ABF" w14:textId="77777777" w:rsidR="00720E23" w:rsidRPr="0085183C" w:rsidRDefault="00720E23" w:rsidP="00720E23">
      <w:pPr>
        <w:numPr>
          <w:ilvl w:val="0"/>
          <w:numId w:val="21"/>
        </w:numPr>
        <w:tabs>
          <w:tab w:val="left" w:pos="720"/>
        </w:tabs>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Knowledge acquisition measured using a 30-item multiple-choice questionnaire (MCQ) administered before and after the intervention.</w:t>
      </w:r>
    </w:p>
    <w:p w14:paraId="56FCD664" w14:textId="77777777" w:rsidR="00720E23" w:rsidRPr="0085183C" w:rsidRDefault="00720E23" w:rsidP="00720E23">
      <w:pPr>
        <w:numPr>
          <w:ilvl w:val="0"/>
          <w:numId w:val="21"/>
        </w:numPr>
        <w:tabs>
          <w:tab w:val="left" w:pos="720"/>
        </w:tabs>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Self-reported confidence levels measured using a 5-point Likert scale (1 = very low confidence; 5 = very high confidence), assessed pre- and post-intervention.</w:t>
      </w:r>
    </w:p>
    <w:p w14:paraId="3CB98E79" w14:textId="77777777" w:rsidR="00720E23" w:rsidRPr="0085183C" w:rsidRDefault="00720E23" w:rsidP="00720E23">
      <w:pPr>
        <w:numPr>
          <w:ilvl w:val="0"/>
          <w:numId w:val="21"/>
        </w:numPr>
        <w:tabs>
          <w:tab w:val="left" w:pos="720"/>
        </w:tabs>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Student satisfaction measured post-intervention using a 5-point Likert scale.</w:t>
      </w:r>
    </w:p>
    <w:p w14:paraId="7D21E967" w14:textId="77777777" w:rsidR="00720E23" w:rsidRDefault="00720E23" w:rsidP="00720E23">
      <w:pPr>
        <w:spacing w:after="0" w:line="240" w:lineRule="auto"/>
        <w:jc w:val="both"/>
        <w:rPr>
          <w:rFonts w:ascii="Times New Roman" w:hAnsi="Times New Roman" w:cs="Times New Roman"/>
          <w:b/>
          <w:sz w:val="20"/>
          <w:szCs w:val="20"/>
        </w:rPr>
      </w:pPr>
    </w:p>
    <w:p w14:paraId="359B911F" w14:textId="46887CA0"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Sample Size</w:t>
      </w:r>
    </w:p>
    <w:p w14:paraId="2C1B31F2"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A total of 90 students (45 per group) were included. This sample size was considered adequate to detect an approximate 6% difference in mean OSCE scores between groups, assuming a standard deviation of approximately 9, with 80% statistical power and a two-sided significance level of 0.05.</w:t>
      </w:r>
    </w:p>
    <w:p w14:paraId="4AB7DF08" w14:textId="77777777" w:rsidR="00720E23" w:rsidRDefault="00720E23" w:rsidP="00720E23">
      <w:pPr>
        <w:spacing w:after="0" w:line="240" w:lineRule="auto"/>
        <w:jc w:val="both"/>
        <w:rPr>
          <w:rFonts w:ascii="Times New Roman" w:hAnsi="Times New Roman" w:cs="Times New Roman"/>
          <w:b/>
          <w:sz w:val="20"/>
          <w:szCs w:val="20"/>
        </w:rPr>
      </w:pPr>
    </w:p>
    <w:p w14:paraId="2A57E908" w14:textId="1904081C" w:rsidR="00720E23" w:rsidRPr="00720E23" w:rsidRDefault="00720E23" w:rsidP="00720E23">
      <w:pPr>
        <w:spacing w:after="0" w:line="240" w:lineRule="auto"/>
        <w:jc w:val="both"/>
        <w:rPr>
          <w:rFonts w:ascii="Times New Roman" w:hAnsi="Times New Roman" w:cs="Times New Roman"/>
          <w:b/>
          <w:sz w:val="20"/>
          <w:szCs w:val="20"/>
        </w:rPr>
      </w:pPr>
      <w:r w:rsidRPr="00720E23">
        <w:rPr>
          <w:rFonts w:ascii="Times New Roman" w:hAnsi="Times New Roman" w:cs="Times New Roman"/>
          <w:b/>
          <w:sz w:val="20"/>
          <w:szCs w:val="20"/>
        </w:rPr>
        <w:t>Statistical Analysis</w:t>
      </w:r>
    </w:p>
    <w:p w14:paraId="0993A2C3"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Data were analysed using SPSS V 26.0. Continuous variables were summarized as mean ± standard deviation (SD) or median (interquartile range) where appropriate.</w:t>
      </w:r>
    </w:p>
    <w:p w14:paraId="7FD7D7EC" w14:textId="77777777" w:rsidR="00720E23" w:rsidRPr="0085183C" w:rsidRDefault="00720E23" w:rsidP="00720E23">
      <w:pPr>
        <w:spacing w:after="0" w:line="240" w:lineRule="auto"/>
        <w:jc w:val="both"/>
        <w:rPr>
          <w:rFonts w:ascii="Times New Roman" w:hAnsi="Times New Roman" w:cs="Times New Roman"/>
          <w:bCs/>
          <w:sz w:val="20"/>
          <w:szCs w:val="20"/>
        </w:rPr>
      </w:pPr>
      <w:r w:rsidRPr="0085183C">
        <w:rPr>
          <w:rFonts w:ascii="Times New Roman" w:hAnsi="Times New Roman" w:cs="Times New Roman"/>
          <w:bCs/>
          <w:sz w:val="20"/>
          <w:szCs w:val="20"/>
        </w:rPr>
        <w:t>Between-group comparisons were performed using Welch’s two-sample t-test for normally distributed continuous variables with unequal variances. Within-group pre- and post-intervention comparisons were conducted using paired t-tests for MCQ scores and Wilcoxon rank-sum test for confidence scores.</w:t>
      </w:r>
    </w:p>
    <w:p w14:paraId="44C356CA" w14:textId="168364B5" w:rsidR="00A0104B" w:rsidRPr="00720E23" w:rsidRDefault="00720E23" w:rsidP="00720E23">
      <w:pPr>
        <w:spacing w:after="0" w:line="240" w:lineRule="auto"/>
        <w:jc w:val="both"/>
        <w:rPr>
          <w:rFonts w:ascii="Times New Roman" w:hAnsi="Times New Roman" w:cs="Times New Roman"/>
          <w:sz w:val="20"/>
          <w:szCs w:val="20"/>
        </w:rPr>
      </w:pPr>
      <w:r w:rsidRPr="00720E23">
        <w:rPr>
          <w:rFonts w:ascii="Times New Roman" w:hAnsi="Times New Roman" w:cs="Times New Roman"/>
          <w:bCs/>
          <w:sz w:val="20"/>
          <w:szCs w:val="20"/>
        </w:rPr>
        <w:t xml:space="preserve">Categorical variables were </w:t>
      </w:r>
      <w:proofErr w:type="spellStart"/>
      <w:r w:rsidRPr="00720E23">
        <w:rPr>
          <w:rFonts w:ascii="Times New Roman" w:hAnsi="Times New Roman" w:cs="Times New Roman"/>
          <w:bCs/>
          <w:sz w:val="20"/>
          <w:szCs w:val="20"/>
        </w:rPr>
        <w:t>analyzed</w:t>
      </w:r>
      <w:proofErr w:type="spellEnd"/>
      <w:r w:rsidRPr="00720E23">
        <w:rPr>
          <w:rFonts w:ascii="Times New Roman" w:hAnsi="Times New Roman" w:cs="Times New Roman"/>
          <w:bCs/>
          <w:sz w:val="20"/>
          <w:szCs w:val="20"/>
        </w:rPr>
        <w:t xml:space="preserve"> using the chi-square test. A two-tailed p-value &lt;0.05 was considered statistically significant</w:t>
      </w:r>
      <w:r w:rsidR="00216FF9" w:rsidRPr="00720E23">
        <w:rPr>
          <w:rFonts w:ascii="Times New Roman" w:hAnsi="Times New Roman" w:cs="Times New Roman"/>
          <w:sz w:val="20"/>
          <w:szCs w:val="20"/>
        </w:rPr>
        <w:t>.</w:t>
      </w:r>
    </w:p>
    <w:p w14:paraId="68038F81" w14:textId="77777777" w:rsidR="004F23D2" w:rsidRDefault="004F23D2">
      <w:pPr>
        <w:widowControl w:val="0"/>
        <w:autoSpaceDE w:val="0"/>
        <w:autoSpaceDN w:val="0"/>
        <w:adjustRightInd w:val="0"/>
        <w:spacing w:after="0" w:line="240" w:lineRule="auto"/>
        <w:jc w:val="both"/>
        <w:rPr>
          <w:rFonts w:ascii="Times New Roman" w:hAnsi="Times New Roman" w:cs="Times New Roman"/>
          <w:sz w:val="20"/>
          <w:szCs w:val="20"/>
        </w:rPr>
      </w:pPr>
    </w:p>
    <w:p w14:paraId="791C52FC" w14:textId="77777777" w:rsidR="008A3E37" w:rsidRDefault="00000000" w:rsidP="008A3E37">
      <w:pPr>
        <w:widowControl w:val="0"/>
        <w:autoSpaceDE w:val="0"/>
        <w:autoSpaceDN w:val="0"/>
        <w:adjustRightInd w:val="0"/>
        <w:spacing w:after="0" w:line="240" w:lineRule="auto"/>
        <w:jc w:val="both"/>
        <w:rPr>
          <w:rFonts w:ascii="Times New Roman" w:hAnsi="Times New Roman" w:cs="Times New Roman"/>
          <w:b/>
          <w:color w:val="000000"/>
          <w:kern w:val="24"/>
          <w:sz w:val="20"/>
          <w:szCs w:val="20"/>
        </w:rPr>
      </w:pPr>
      <w:r>
        <w:rPr>
          <w:rFonts w:ascii="Times New Roman" w:hAnsi="Times New Roman" w:cs="Times New Roman"/>
          <w:b/>
          <w:color w:val="000000"/>
          <w:kern w:val="24"/>
          <w:sz w:val="20"/>
          <w:szCs w:val="20"/>
        </w:rPr>
        <w:t>RESULTS</w:t>
      </w:r>
    </w:p>
    <w:p w14:paraId="357E01C7" w14:textId="77777777" w:rsidR="003B4B06" w:rsidRPr="0085183C" w:rsidRDefault="003B4B06" w:rsidP="003B4B06">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 xml:space="preserve">A total of 90 third-year MBBS students were included in the analysis, with 45 students in the Near-Peer Teaching group and 45 in the </w:t>
      </w:r>
      <w:proofErr w:type="gramStart"/>
      <w:r w:rsidRPr="0085183C">
        <w:rPr>
          <w:rFonts w:ascii="Times New Roman" w:hAnsi="Times New Roman" w:cs="Times New Roman"/>
          <w:sz w:val="20"/>
          <w:szCs w:val="20"/>
        </w:rPr>
        <w:t>Faculty</w:t>
      </w:r>
      <w:proofErr w:type="gramEnd"/>
      <w:r w:rsidRPr="0085183C">
        <w:rPr>
          <w:rFonts w:ascii="Times New Roman" w:hAnsi="Times New Roman" w:cs="Times New Roman"/>
          <w:sz w:val="20"/>
          <w:szCs w:val="20"/>
        </w:rPr>
        <w:t>-Led Teaching group. All participants completed the intervention and outcome assessments.</w:t>
      </w:r>
    </w:p>
    <w:p w14:paraId="3E16EE62" w14:textId="77777777" w:rsidR="003B4B06" w:rsidRPr="0085183C" w:rsidRDefault="003B4B06" w:rsidP="003B4B06">
      <w:pPr>
        <w:spacing w:after="0" w:line="240" w:lineRule="auto"/>
        <w:jc w:val="both"/>
        <w:rPr>
          <w:rFonts w:ascii="Times New Roman" w:hAnsi="Times New Roman" w:cs="Times New Roman"/>
          <w:sz w:val="20"/>
          <w:szCs w:val="20"/>
        </w:rPr>
      </w:pPr>
    </w:p>
    <w:p w14:paraId="10C3FD32" w14:textId="77777777" w:rsidR="003B4B06" w:rsidRPr="0085183C" w:rsidRDefault="003B4B06" w:rsidP="003B4B06">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Baseline demographic and academic characteristics were comparable between groups (Table 1). The mean age of participants was 21.18 ± 1.05 years in the near-peer group and 21.40 ± 1.20 years in the faculty group (p = 0.34). The gender distribution was similar, with males comprising 60.0% and 57.8% of the near-peer and faculty groups, respectively (p = 0.83).</w:t>
      </w:r>
    </w:p>
    <w:p w14:paraId="49D5279A" w14:textId="77777777" w:rsidR="003B4B06" w:rsidRPr="0085183C" w:rsidRDefault="003B4B06" w:rsidP="003B4B06">
      <w:pPr>
        <w:spacing w:after="0" w:line="240" w:lineRule="auto"/>
        <w:jc w:val="both"/>
        <w:rPr>
          <w:rFonts w:ascii="Times New Roman" w:hAnsi="Times New Roman" w:cs="Times New Roman"/>
          <w:sz w:val="20"/>
          <w:szCs w:val="20"/>
        </w:rPr>
      </w:pPr>
    </w:p>
    <w:p w14:paraId="115D20E1" w14:textId="77777777" w:rsidR="003B4B06" w:rsidRDefault="003B4B06" w:rsidP="003B4B06">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There were no statistically significant differences in baseline MCQ scores (18.54 ± 2.96 vs. 18.73 ± 2.88; p = 0.71) or baseline confidence scores (median 3 [IQR 3–4] in both groups; p = 0.89), indicating comparable pre-intervention academic and self-perceived competence levels.</w:t>
      </w:r>
    </w:p>
    <w:p w14:paraId="40D711B3" w14:textId="77777777" w:rsidR="003B4B06" w:rsidRPr="0085183C" w:rsidRDefault="003B4B06" w:rsidP="003B4B06">
      <w:pPr>
        <w:spacing w:after="0" w:line="240" w:lineRule="auto"/>
        <w:jc w:val="both"/>
        <w:rPr>
          <w:rFonts w:ascii="Times New Roman" w:hAnsi="Times New Roman" w:cs="Times New Roman"/>
          <w:sz w:val="20"/>
          <w:szCs w:val="20"/>
        </w:rPr>
      </w:pPr>
    </w:p>
    <w:p w14:paraId="3CC31ABA" w14:textId="77777777" w:rsidR="003B4B06" w:rsidRPr="003B4B06" w:rsidRDefault="003B4B06" w:rsidP="003B4B06">
      <w:pPr>
        <w:spacing w:after="0" w:line="240" w:lineRule="auto"/>
        <w:jc w:val="center"/>
        <w:rPr>
          <w:rFonts w:ascii="Times New Roman" w:hAnsi="Times New Roman" w:cs="Times New Roman"/>
          <w:b/>
          <w:sz w:val="20"/>
          <w:szCs w:val="20"/>
        </w:rPr>
      </w:pPr>
      <w:r w:rsidRPr="003B4B06">
        <w:rPr>
          <w:rFonts w:ascii="Times New Roman" w:hAnsi="Times New Roman" w:cs="Times New Roman"/>
          <w:b/>
          <w:sz w:val="20"/>
          <w:szCs w:val="20"/>
        </w:rPr>
        <w:t>Table 1. Baseline characteristics of study participants</w:t>
      </w:r>
    </w:p>
    <w:tbl>
      <w:tblPr>
        <w:tblStyle w:val="TableGrid"/>
        <w:tblW w:w="0" w:type="auto"/>
        <w:jc w:val="center"/>
        <w:tblLook w:val="04A0" w:firstRow="1" w:lastRow="0" w:firstColumn="1" w:lastColumn="0" w:noHBand="0" w:noVBand="1"/>
      </w:tblPr>
      <w:tblGrid>
        <w:gridCol w:w="3880"/>
        <w:gridCol w:w="2451"/>
        <w:gridCol w:w="2611"/>
        <w:gridCol w:w="794"/>
      </w:tblGrid>
      <w:tr w:rsidR="003B4B06" w:rsidRPr="0085183C" w14:paraId="7B3BD48D" w14:textId="77777777" w:rsidTr="00FC3269">
        <w:trPr>
          <w:jc w:val="center"/>
        </w:trPr>
        <w:tc>
          <w:tcPr>
            <w:tcW w:w="0" w:type="auto"/>
            <w:hideMark/>
          </w:tcPr>
          <w:p w14:paraId="23E513E2"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Variable</w:t>
            </w:r>
          </w:p>
        </w:tc>
        <w:tc>
          <w:tcPr>
            <w:tcW w:w="0" w:type="auto"/>
            <w:hideMark/>
          </w:tcPr>
          <w:p w14:paraId="2638956D"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Near-Peer Teaching (n = 45)</w:t>
            </w:r>
          </w:p>
        </w:tc>
        <w:tc>
          <w:tcPr>
            <w:tcW w:w="0" w:type="auto"/>
            <w:hideMark/>
          </w:tcPr>
          <w:p w14:paraId="63C945A5"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Faculty-Led Teaching (n = 45)</w:t>
            </w:r>
          </w:p>
        </w:tc>
        <w:tc>
          <w:tcPr>
            <w:tcW w:w="0" w:type="auto"/>
            <w:hideMark/>
          </w:tcPr>
          <w:p w14:paraId="3B81BCFC"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p value</w:t>
            </w:r>
          </w:p>
        </w:tc>
      </w:tr>
      <w:tr w:rsidR="003B4B06" w:rsidRPr="0085183C" w14:paraId="187511BE" w14:textId="77777777" w:rsidTr="00FC3269">
        <w:trPr>
          <w:jc w:val="center"/>
        </w:trPr>
        <w:tc>
          <w:tcPr>
            <w:tcW w:w="0" w:type="auto"/>
            <w:hideMark/>
          </w:tcPr>
          <w:p w14:paraId="41563097"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Age (years), mean ± SD</w:t>
            </w:r>
          </w:p>
        </w:tc>
        <w:tc>
          <w:tcPr>
            <w:tcW w:w="0" w:type="auto"/>
            <w:hideMark/>
          </w:tcPr>
          <w:p w14:paraId="2292E501"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21.18 ± 1.05</w:t>
            </w:r>
          </w:p>
        </w:tc>
        <w:tc>
          <w:tcPr>
            <w:tcW w:w="0" w:type="auto"/>
            <w:hideMark/>
          </w:tcPr>
          <w:p w14:paraId="78680A29"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21.40 ± 1.20</w:t>
            </w:r>
          </w:p>
        </w:tc>
        <w:tc>
          <w:tcPr>
            <w:tcW w:w="0" w:type="auto"/>
            <w:hideMark/>
          </w:tcPr>
          <w:p w14:paraId="4A5ACCF1"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0.34</w:t>
            </w:r>
          </w:p>
        </w:tc>
      </w:tr>
      <w:tr w:rsidR="003B4B06" w:rsidRPr="0085183C" w14:paraId="552A98A4" w14:textId="77777777" w:rsidTr="00FC3269">
        <w:trPr>
          <w:jc w:val="center"/>
        </w:trPr>
        <w:tc>
          <w:tcPr>
            <w:tcW w:w="0" w:type="auto"/>
            <w:hideMark/>
          </w:tcPr>
          <w:p w14:paraId="5E3677D8"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Gender – Male, n (%)</w:t>
            </w:r>
          </w:p>
        </w:tc>
        <w:tc>
          <w:tcPr>
            <w:tcW w:w="0" w:type="auto"/>
            <w:hideMark/>
          </w:tcPr>
          <w:p w14:paraId="6AA080CB"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27 (60.0)</w:t>
            </w:r>
          </w:p>
        </w:tc>
        <w:tc>
          <w:tcPr>
            <w:tcW w:w="0" w:type="auto"/>
            <w:hideMark/>
          </w:tcPr>
          <w:p w14:paraId="2A79D818"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26 (57.8)</w:t>
            </w:r>
          </w:p>
        </w:tc>
        <w:tc>
          <w:tcPr>
            <w:tcW w:w="0" w:type="auto"/>
            <w:hideMark/>
          </w:tcPr>
          <w:p w14:paraId="1F63DD39"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0.83</w:t>
            </w:r>
          </w:p>
        </w:tc>
      </w:tr>
      <w:tr w:rsidR="003B4B06" w:rsidRPr="0085183C" w14:paraId="270684B8" w14:textId="77777777" w:rsidTr="00FC3269">
        <w:trPr>
          <w:jc w:val="center"/>
        </w:trPr>
        <w:tc>
          <w:tcPr>
            <w:tcW w:w="0" w:type="auto"/>
            <w:hideMark/>
          </w:tcPr>
          <w:p w14:paraId="5E2EA99D"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Gender – Female, n (%)</w:t>
            </w:r>
          </w:p>
        </w:tc>
        <w:tc>
          <w:tcPr>
            <w:tcW w:w="0" w:type="auto"/>
            <w:hideMark/>
          </w:tcPr>
          <w:p w14:paraId="3F2DC44D"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18 (40.0)</w:t>
            </w:r>
          </w:p>
        </w:tc>
        <w:tc>
          <w:tcPr>
            <w:tcW w:w="0" w:type="auto"/>
            <w:hideMark/>
          </w:tcPr>
          <w:p w14:paraId="59D096C3"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19 (42.2)</w:t>
            </w:r>
          </w:p>
        </w:tc>
        <w:tc>
          <w:tcPr>
            <w:tcW w:w="0" w:type="auto"/>
            <w:hideMark/>
          </w:tcPr>
          <w:p w14:paraId="32349A0C" w14:textId="77777777" w:rsidR="003B4B06" w:rsidRPr="0085183C" w:rsidRDefault="003B4B06" w:rsidP="003C414C">
            <w:pPr>
              <w:jc w:val="both"/>
              <w:rPr>
                <w:rFonts w:ascii="Times New Roman" w:hAnsi="Times New Roman"/>
                <w:sz w:val="20"/>
                <w:szCs w:val="20"/>
              </w:rPr>
            </w:pPr>
          </w:p>
        </w:tc>
      </w:tr>
      <w:tr w:rsidR="003B4B06" w:rsidRPr="0085183C" w14:paraId="340A5C8C" w14:textId="77777777" w:rsidTr="00FC3269">
        <w:trPr>
          <w:jc w:val="center"/>
        </w:trPr>
        <w:tc>
          <w:tcPr>
            <w:tcW w:w="0" w:type="auto"/>
            <w:hideMark/>
          </w:tcPr>
          <w:p w14:paraId="401E4FD3"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Baseline MCQ score (out of 30), mean ± SD</w:t>
            </w:r>
          </w:p>
        </w:tc>
        <w:tc>
          <w:tcPr>
            <w:tcW w:w="0" w:type="auto"/>
            <w:hideMark/>
          </w:tcPr>
          <w:p w14:paraId="65E92858"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18.54 ± 2.96</w:t>
            </w:r>
          </w:p>
        </w:tc>
        <w:tc>
          <w:tcPr>
            <w:tcW w:w="0" w:type="auto"/>
            <w:hideMark/>
          </w:tcPr>
          <w:p w14:paraId="3CBD97E1"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18.73 ± 2.88</w:t>
            </w:r>
          </w:p>
        </w:tc>
        <w:tc>
          <w:tcPr>
            <w:tcW w:w="0" w:type="auto"/>
            <w:hideMark/>
          </w:tcPr>
          <w:p w14:paraId="50785965"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0.71</w:t>
            </w:r>
          </w:p>
        </w:tc>
      </w:tr>
      <w:tr w:rsidR="003B4B06" w:rsidRPr="0085183C" w14:paraId="23F1BB29" w14:textId="77777777" w:rsidTr="00FC3269">
        <w:trPr>
          <w:jc w:val="center"/>
        </w:trPr>
        <w:tc>
          <w:tcPr>
            <w:tcW w:w="0" w:type="auto"/>
            <w:hideMark/>
          </w:tcPr>
          <w:p w14:paraId="0C8D2D12"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Baseline confidence score (1–5), median (IQR)</w:t>
            </w:r>
          </w:p>
        </w:tc>
        <w:tc>
          <w:tcPr>
            <w:tcW w:w="0" w:type="auto"/>
            <w:hideMark/>
          </w:tcPr>
          <w:p w14:paraId="1F06C696"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3 (3–4)</w:t>
            </w:r>
          </w:p>
        </w:tc>
        <w:tc>
          <w:tcPr>
            <w:tcW w:w="0" w:type="auto"/>
            <w:hideMark/>
          </w:tcPr>
          <w:p w14:paraId="61FD2110"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3 (3–4)</w:t>
            </w:r>
          </w:p>
        </w:tc>
        <w:tc>
          <w:tcPr>
            <w:tcW w:w="0" w:type="auto"/>
            <w:hideMark/>
          </w:tcPr>
          <w:p w14:paraId="46EA41F9"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0.89</w:t>
            </w:r>
          </w:p>
        </w:tc>
      </w:tr>
    </w:tbl>
    <w:p w14:paraId="0BA5D53C" w14:textId="77777777" w:rsidR="003B4B06" w:rsidRPr="0085183C" w:rsidRDefault="003B4B06" w:rsidP="003B4B06">
      <w:pPr>
        <w:pStyle w:val="NormalWeb"/>
        <w:spacing w:afterAutospacing="0"/>
        <w:jc w:val="both"/>
        <w:rPr>
          <w:rFonts w:cs="Times New Roman"/>
          <w:sz w:val="20"/>
          <w:szCs w:val="20"/>
        </w:rPr>
      </w:pPr>
      <w:r w:rsidRPr="0085183C">
        <w:rPr>
          <w:rFonts w:cs="Times New Roman"/>
          <w:sz w:val="20"/>
          <w:szCs w:val="20"/>
        </w:rPr>
        <w:t xml:space="preserve">Post-intervention OSCE scores were significantly higher in the Near-Peer Teaching group compared to the </w:t>
      </w:r>
      <w:proofErr w:type="gramStart"/>
      <w:r w:rsidRPr="0085183C">
        <w:rPr>
          <w:rFonts w:cs="Times New Roman"/>
          <w:sz w:val="20"/>
          <w:szCs w:val="20"/>
        </w:rPr>
        <w:t>Faculty</w:t>
      </w:r>
      <w:proofErr w:type="gramEnd"/>
      <w:r w:rsidRPr="0085183C">
        <w:rPr>
          <w:rFonts w:cs="Times New Roman"/>
          <w:sz w:val="20"/>
          <w:szCs w:val="20"/>
        </w:rPr>
        <w:t>-Led Teaching group (78.04 ± 7.78 vs. 72.11 ± 8.85; p = 0.003).</w:t>
      </w:r>
    </w:p>
    <w:p w14:paraId="73F22141" w14:textId="77777777" w:rsidR="003B4B06" w:rsidRPr="0085183C" w:rsidRDefault="003B4B06" w:rsidP="003B4B06">
      <w:pPr>
        <w:pStyle w:val="NormalWeb"/>
        <w:spacing w:afterAutospacing="0"/>
        <w:jc w:val="both"/>
        <w:rPr>
          <w:rFonts w:cs="Times New Roman"/>
          <w:sz w:val="20"/>
          <w:szCs w:val="20"/>
        </w:rPr>
      </w:pPr>
      <w:r w:rsidRPr="0085183C">
        <w:rPr>
          <w:rFonts w:cs="Times New Roman"/>
          <w:sz w:val="20"/>
          <w:szCs w:val="20"/>
        </w:rPr>
        <w:t xml:space="preserve">The mean difference in OSCE scores between groups was 5.93 points (95% CI: 2.81 to 9.05), </w:t>
      </w:r>
      <w:proofErr w:type="spellStart"/>
      <w:r w:rsidRPr="0085183C">
        <w:rPr>
          <w:rFonts w:cs="Times New Roman"/>
          <w:sz w:val="20"/>
          <w:szCs w:val="20"/>
        </w:rPr>
        <w:t>favouring</w:t>
      </w:r>
      <w:proofErr w:type="spellEnd"/>
      <w:r w:rsidRPr="0085183C">
        <w:rPr>
          <w:rFonts w:cs="Times New Roman"/>
          <w:sz w:val="20"/>
          <w:szCs w:val="20"/>
        </w:rPr>
        <w:t xml:space="preserve"> the near-peer intervention (Table 2).</w:t>
      </w:r>
    </w:p>
    <w:p w14:paraId="574D976E" w14:textId="77777777" w:rsidR="00FC3269" w:rsidRDefault="00FC3269" w:rsidP="00FC3269">
      <w:pPr>
        <w:spacing w:after="0" w:line="240" w:lineRule="auto"/>
        <w:jc w:val="center"/>
        <w:rPr>
          <w:rFonts w:ascii="Times New Roman" w:hAnsi="Times New Roman" w:cs="Times New Roman"/>
          <w:b/>
          <w:sz w:val="20"/>
          <w:szCs w:val="20"/>
        </w:rPr>
      </w:pPr>
    </w:p>
    <w:p w14:paraId="2AF2BF3D" w14:textId="322BD9C1" w:rsidR="003B4B06" w:rsidRPr="00FC3269" w:rsidRDefault="003B4B06" w:rsidP="00FC3269">
      <w:pPr>
        <w:spacing w:after="0" w:line="240" w:lineRule="auto"/>
        <w:jc w:val="center"/>
        <w:rPr>
          <w:rFonts w:ascii="Times New Roman" w:hAnsi="Times New Roman" w:cs="Times New Roman"/>
          <w:b/>
          <w:sz w:val="20"/>
          <w:szCs w:val="20"/>
        </w:rPr>
      </w:pPr>
      <w:r w:rsidRPr="00FC3269">
        <w:rPr>
          <w:rFonts w:ascii="Times New Roman" w:hAnsi="Times New Roman" w:cs="Times New Roman"/>
          <w:b/>
          <w:sz w:val="20"/>
          <w:szCs w:val="20"/>
        </w:rPr>
        <w:lastRenderedPageBreak/>
        <w:t>Table 2. Comparison of primary outcome (OSCE performance)</w:t>
      </w:r>
    </w:p>
    <w:tbl>
      <w:tblPr>
        <w:tblStyle w:val="TableGrid"/>
        <w:tblW w:w="0" w:type="auto"/>
        <w:tblLook w:val="04A0" w:firstRow="1" w:lastRow="0" w:firstColumn="1" w:lastColumn="0" w:noHBand="0" w:noVBand="1"/>
      </w:tblPr>
      <w:tblGrid>
        <w:gridCol w:w="2607"/>
        <w:gridCol w:w="2105"/>
        <w:gridCol w:w="2228"/>
        <w:gridCol w:w="2031"/>
        <w:gridCol w:w="765"/>
      </w:tblGrid>
      <w:tr w:rsidR="003B4B06" w:rsidRPr="0085183C" w14:paraId="1E7AE595" w14:textId="77777777" w:rsidTr="003C414C">
        <w:tc>
          <w:tcPr>
            <w:tcW w:w="0" w:type="auto"/>
            <w:hideMark/>
          </w:tcPr>
          <w:p w14:paraId="3D9F4E1E"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Outcome</w:t>
            </w:r>
          </w:p>
        </w:tc>
        <w:tc>
          <w:tcPr>
            <w:tcW w:w="0" w:type="auto"/>
            <w:hideMark/>
          </w:tcPr>
          <w:p w14:paraId="2384AF44"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Near-Peer Teaching (n = 45)</w:t>
            </w:r>
          </w:p>
        </w:tc>
        <w:tc>
          <w:tcPr>
            <w:tcW w:w="0" w:type="auto"/>
            <w:hideMark/>
          </w:tcPr>
          <w:p w14:paraId="3444796E"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Faculty-Led Teaching (n = 45)</w:t>
            </w:r>
          </w:p>
        </w:tc>
        <w:tc>
          <w:tcPr>
            <w:tcW w:w="0" w:type="auto"/>
            <w:hideMark/>
          </w:tcPr>
          <w:p w14:paraId="41F32D81"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Mean Difference (95% CI)</w:t>
            </w:r>
          </w:p>
        </w:tc>
        <w:tc>
          <w:tcPr>
            <w:tcW w:w="0" w:type="auto"/>
            <w:hideMark/>
          </w:tcPr>
          <w:p w14:paraId="29257EB6"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p value</w:t>
            </w:r>
          </w:p>
        </w:tc>
      </w:tr>
      <w:tr w:rsidR="003B4B06" w:rsidRPr="0085183C" w14:paraId="4D8BCC66" w14:textId="77777777" w:rsidTr="003C414C">
        <w:tc>
          <w:tcPr>
            <w:tcW w:w="0" w:type="auto"/>
            <w:hideMark/>
          </w:tcPr>
          <w:p w14:paraId="6BC65A52"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OSCE score (out of 100), mean ± SD</w:t>
            </w:r>
          </w:p>
        </w:tc>
        <w:tc>
          <w:tcPr>
            <w:tcW w:w="0" w:type="auto"/>
            <w:hideMark/>
          </w:tcPr>
          <w:p w14:paraId="3383E9C9"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78.04 ± 7.78</w:t>
            </w:r>
          </w:p>
        </w:tc>
        <w:tc>
          <w:tcPr>
            <w:tcW w:w="0" w:type="auto"/>
            <w:hideMark/>
          </w:tcPr>
          <w:p w14:paraId="66AC905F"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72.11 ± 8.85</w:t>
            </w:r>
          </w:p>
        </w:tc>
        <w:tc>
          <w:tcPr>
            <w:tcW w:w="0" w:type="auto"/>
            <w:hideMark/>
          </w:tcPr>
          <w:p w14:paraId="052B69E0"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5.93 (2.81 to 9.05)</w:t>
            </w:r>
          </w:p>
        </w:tc>
        <w:tc>
          <w:tcPr>
            <w:tcW w:w="0" w:type="auto"/>
            <w:hideMark/>
          </w:tcPr>
          <w:p w14:paraId="6D897649" w14:textId="77777777" w:rsidR="003B4B06" w:rsidRPr="0085183C" w:rsidRDefault="003B4B06" w:rsidP="003C414C">
            <w:pPr>
              <w:jc w:val="both"/>
              <w:rPr>
                <w:rFonts w:ascii="Times New Roman" w:hAnsi="Times New Roman"/>
                <w:sz w:val="20"/>
                <w:szCs w:val="20"/>
              </w:rPr>
            </w:pPr>
            <w:r w:rsidRPr="0085183C">
              <w:rPr>
                <w:rFonts w:ascii="Times New Roman" w:hAnsi="Times New Roman"/>
                <w:bCs/>
                <w:sz w:val="20"/>
                <w:szCs w:val="20"/>
              </w:rPr>
              <w:t>0.003</w:t>
            </w:r>
          </w:p>
        </w:tc>
      </w:tr>
    </w:tbl>
    <w:p w14:paraId="072D44E4" w14:textId="77777777" w:rsidR="003B4B06" w:rsidRPr="0085183C" w:rsidRDefault="003B4B06" w:rsidP="003B4B06">
      <w:pPr>
        <w:spacing w:after="0" w:line="240" w:lineRule="auto"/>
        <w:jc w:val="both"/>
        <w:rPr>
          <w:rFonts w:ascii="Times New Roman" w:hAnsi="Times New Roman" w:cs="Times New Roman"/>
          <w:sz w:val="20"/>
          <w:szCs w:val="20"/>
        </w:rPr>
      </w:pPr>
    </w:p>
    <w:p w14:paraId="6EB89E84" w14:textId="77777777" w:rsidR="003B4B06" w:rsidRPr="0085183C" w:rsidRDefault="003B4B06" w:rsidP="003B4B06">
      <w:pPr>
        <w:pStyle w:val="NormalWeb"/>
        <w:spacing w:afterAutospacing="0"/>
        <w:jc w:val="both"/>
        <w:rPr>
          <w:rFonts w:cs="Times New Roman"/>
          <w:sz w:val="20"/>
          <w:szCs w:val="20"/>
        </w:rPr>
      </w:pPr>
      <w:r w:rsidRPr="0085183C">
        <w:rPr>
          <w:rFonts w:cs="Times New Roman"/>
          <w:sz w:val="20"/>
          <w:szCs w:val="20"/>
        </w:rPr>
        <w:t>Baseline MCQ scores were similar between groups (p = 0.71). Following the intervention, both groups demonstrated improvement in knowledge scores; however, the near-peer group achieved significantly higher post-intervention MCQ scores (23.11 ± 2.85) compared to the faculty-led group (20.84 ± 3.10; p &lt; 0.001) (Table 3).</w:t>
      </w:r>
    </w:p>
    <w:p w14:paraId="3BA616EE" w14:textId="77777777" w:rsidR="003B4B06" w:rsidRPr="0085183C" w:rsidRDefault="003B4B06" w:rsidP="003B4B06">
      <w:pPr>
        <w:pStyle w:val="NormalWeb"/>
        <w:spacing w:afterAutospacing="0"/>
        <w:jc w:val="both"/>
        <w:rPr>
          <w:rFonts w:cs="Times New Roman"/>
          <w:sz w:val="20"/>
          <w:szCs w:val="20"/>
        </w:rPr>
      </w:pPr>
      <w:r w:rsidRPr="0085183C">
        <w:rPr>
          <w:rFonts w:cs="Times New Roman"/>
          <w:sz w:val="20"/>
          <w:szCs w:val="20"/>
        </w:rPr>
        <w:t>The mean improvement in MCQ scores was +4.57 in the near-peer group and +2.11 in the faculty-led group.</w:t>
      </w:r>
    </w:p>
    <w:p w14:paraId="4E47E997" w14:textId="77777777" w:rsidR="00FC3269" w:rsidRDefault="00FC3269" w:rsidP="003B4B06">
      <w:pPr>
        <w:spacing w:after="0" w:line="240" w:lineRule="auto"/>
        <w:jc w:val="both"/>
        <w:rPr>
          <w:rFonts w:ascii="Times New Roman" w:hAnsi="Times New Roman" w:cs="Times New Roman"/>
          <w:b/>
          <w:sz w:val="20"/>
          <w:szCs w:val="20"/>
        </w:rPr>
      </w:pPr>
    </w:p>
    <w:p w14:paraId="6DCA6E5E" w14:textId="56B73A64" w:rsidR="003B4B06" w:rsidRPr="00FC3269" w:rsidRDefault="003B4B06" w:rsidP="00FC3269">
      <w:pPr>
        <w:spacing w:after="0" w:line="240" w:lineRule="auto"/>
        <w:jc w:val="center"/>
        <w:rPr>
          <w:rFonts w:ascii="Times New Roman" w:hAnsi="Times New Roman" w:cs="Times New Roman"/>
          <w:b/>
          <w:sz w:val="20"/>
          <w:szCs w:val="20"/>
        </w:rPr>
      </w:pPr>
      <w:r w:rsidRPr="00FC3269">
        <w:rPr>
          <w:rFonts w:ascii="Times New Roman" w:hAnsi="Times New Roman" w:cs="Times New Roman"/>
          <w:b/>
          <w:sz w:val="20"/>
          <w:szCs w:val="20"/>
        </w:rPr>
        <w:t>Table 3. Comparison of knowledge assessment (MCQ scores)</w:t>
      </w:r>
    </w:p>
    <w:tbl>
      <w:tblPr>
        <w:tblStyle w:val="TableGrid"/>
        <w:tblW w:w="0" w:type="auto"/>
        <w:tblLook w:val="04A0" w:firstRow="1" w:lastRow="0" w:firstColumn="1" w:lastColumn="0" w:noHBand="0" w:noVBand="1"/>
      </w:tblPr>
      <w:tblGrid>
        <w:gridCol w:w="2593"/>
        <w:gridCol w:w="2517"/>
        <w:gridCol w:w="2684"/>
        <w:gridCol w:w="800"/>
      </w:tblGrid>
      <w:tr w:rsidR="003B4B06" w:rsidRPr="0085183C" w14:paraId="1C9B9D2E" w14:textId="77777777" w:rsidTr="003C414C">
        <w:tc>
          <w:tcPr>
            <w:tcW w:w="0" w:type="auto"/>
            <w:hideMark/>
          </w:tcPr>
          <w:p w14:paraId="09F8F80C"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MCQ Score (out of 30)</w:t>
            </w:r>
          </w:p>
        </w:tc>
        <w:tc>
          <w:tcPr>
            <w:tcW w:w="0" w:type="auto"/>
            <w:hideMark/>
          </w:tcPr>
          <w:p w14:paraId="2F50AD6A"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Near-Peer Teaching (n = 45)</w:t>
            </w:r>
          </w:p>
        </w:tc>
        <w:tc>
          <w:tcPr>
            <w:tcW w:w="0" w:type="auto"/>
            <w:hideMark/>
          </w:tcPr>
          <w:p w14:paraId="4519992B"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Faculty-Led Teaching (n = 45)</w:t>
            </w:r>
          </w:p>
        </w:tc>
        <w:tc>
          <w:tcPr>
            <w:tcW w:w="0" w:type="auto"/>
            <w:hideMark/>
          </w:tcPr>
          <w:p w14:paraId="0215E26A"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p value</w:t>
            </w:r>
          </w:p>
        </w:tc>
      </w:tr>
      <w:tr w:rsidR="003B4B06" w:rsidRPr="0085183C" w14:paraId="40438609" w14:textId="77777777" w:rsidTr="003C414C">
        <w:tc>
          <w:tcPr>
            <w:tcW w:w="0" w:type="auto"/>
            <w:hideMark/>
          </w:tcPr>
          <w:p w14:paraId="18E9A8AF"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Pre-intervention, mean ± SD</w:t>
            </w:r>
          </w:p>
        </w:tc>
        <w:tc>
          <w:tcPr>
            <w:tcW w:w="0" w:type="auto"/>
            <w:hideMark/>
          </w:tcPr>
          <w:p w14:paraId="56F90A2E"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18.54 ± 2.96</w:t>
            </w:r>
          </w:p>
        </w:tc>
        <w:tc>
          <w:tcPr>
            <w:tcW w:w="0" w:type="auto"/>
            <w:hideMark/>
          </w:tcPr>
          <w:p w14:paraId="2B0860ED"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18.73 ± 2.88</w:t>
            </w:r>
          </w:p>
        </w:tc>
        <w:tc>
          <w:tcPr>
            <w:tcW w:w="0" w:type="auto"/>
            <w:hideMark/>
          </w:tcPr>
          <w:p w14:paraId="7B7B323F"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0.71</w:t>
            </w:r>
          </w:p>
        </w:tc>
      </w:tr>
      <w:tr w:rsidR="003B4B06" w:rsidRPr="0085183C" w14:paraId="34087F1C" w14:textId="77777777" w:rsidTr="003C414C">
        <w:tc>
          <w:tcPr>
            <w:tcW w:w="0" w:type="auto"/>
            <w:hideMark/>
          </w:tcPr>
          <w:p w14:paraId="7979D784"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Post-intervention, mean ± SD</w:t>
            </w:r>
          </w:p>
        </w:tc>
        <w:tc>
          <w:tcPr>
            <w:tcW w:w="0" w:type="auto"/>
            <w:hideMark/>
          </w:tcPr>
          <w:p w14:paraId="524DD166"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23.11 ± 2.85</w:t>
            </w:r>
          </w:p>
        </w:tc>
        <w:tc>
          <w:tcPr>
            <w:tcW w:w="0" w:type="auto"/>
            <w:hideMark/>
          </w:tcPr>
          <w:p w14:paraId="0E670602"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20.84 ± 3.10</w:t>
            </w:r>
          </w:p>
        </w:tc>
        <w:tc>
          <w:tcPr>
            <w:tcW w:w="0" w:type="auto"/>
            <w:hideMark/>
          </w:tcPr>
          <w:p w14:paraId="215E26F0" w14:textId="77777777" w:rsidR="003B4B06" w:rsidRPr="0085183C" w:rsidRDefault="003B4B06" w:rsidP="003C414C">
            <w:pPr>
              <w:jc w:val="both"/>
              <w:rPr>
                <w:rFonts w:ascii="Times New Roman" w:hAnsi="Times New Roman"/>
                <w:sz w:val="20"/>
                <w:szCs w:val="20"/>
              </w:rPr>
            </w:pPr>
            <w:r w:rsidRPr="0085183C">
              <w:rPr>
                <w:rFonts w:ascii="Times New Roman" w:hAnsi="Times New Roman"/>
                <w:bCs/>
                <w:sz w:val="20"/>
                <w:szCs w:val="20"/>
              </w:rPr>
              <w:t>&lt;0.001</w:t>
            </w:r>
          </w:p>
        </w:tc>
      </w:tr>
      <w:tr w:rsidR="003B4B06" w:rsidRPr="0085183C" w14:paraId="41B6FC58" w14:textId="77777777" w:rsidTr="003C414C">
        <w:tc>
          <w:tcPr>
            <w:tcW w:w="0" w:type="auto"/>
            <w:hideMark/>
          </w:tcPr>
          <w:p w14:paraId="4501184F"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Mean improvement</w:t>
            </w:r>
          </w:p>
        </w:tc>
        <w:tc>
          <w:tcPr>
            <w:tcW w:w="0" w:type="auto"/>
            <w:hideMark/>
          </w:tcPr>
          <w:p w14:paraId="560E5EF2"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+4.57</w:t>
            </w:r>
          </w:p>
        </w:tc>
        <w:tc>
          <w:tcPr>
            <w:tcW w:w="0" w:type="auto"/>
            <w:hideMark/>
          </w:tcPr>
          <w:p w14:paraId="005D585D"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+2.11</w:t>
            </w:r>
          </w:p>
        </w:tc>
        <w:tc>
          <w:tcPr>
            <w:tcW w:w="0" w:type="auto"/>
            <w:hideMark/>
          </w:tcPr>
          <w:p w14:paraId="18139139"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w:t>
            </w:r>
          </w:p>
        </w:tc>
      </w:tr>
    </w:tbl>
    <w:p w14:paraId="23FB8C80" w14:textId="77777777" w:rsidR="003B4B06" w:rsidRPr="0085183C" w:rsidRDefault="003B4B06" w:rsidP="003B4B06">
      <w:pPr>
        <w:spacing w:after="0" w:line="240" w:lineRule="auto"/>
        <w:jc w:val="both"/>
        <w:rPr>
          <w:rFonts w:ascii="Times New Roman" w:hAnsi="Times New Roman" w:cs="Times New Roman"/>
          <w:sz w:val="20"/>
          <w:szCs w:val="20"/>
        </w:rPr>
      </w:pPr>
    </w:p>
    <w:p w14:paraId="0449CFF6" w14:textId="77777777" w:rsidR="003B4B06" w:rsidRPr="0085183C" w:rsidRDefault="003B4B06" w:rsidP="003B4B06">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Within-group paired analysis demonstrated statistically significant improvements in both groups. In the near-peer group, the mean increase was 4.57 points (paired t = 8.62, p &lt; 0.001), while in the faculty-led group, the mean increase was 2.11 points (paired t = 3.24, p = 0.002) (Table 4).</w:t>
      </w:r>
    </w:p>
    <w:p w14:paraId="2911504B" w14:textId="77777777" w:rsidR="00FC3269" w:rsidRDefault="00FC3269" w:rsidP="00FC3269">
      <w:pPr>
        <w:spacing w:after="0" w:line="240" w:lineRule="auto"/>
        <w:jc w:val="center"/>
        <w:rPr>
          <w:rFonts w:ascii="Times New Roman" w:hAnsi="Times New Roman" w:cs="Times New Roman"/>
          <w:b/>
          <w:sz w:val="20"/>
          <w:szCs w:val="20"/>
        </w:rPr>
      </w:pPr>
    </w:p>
    <w:p w14:paraId="1EBBD275" w14:textId="2100718F" w:rsidR="003B4B06" w:rsidRPr="00FC3269" w:rsidRDefault="003B4B06" w:rsidP="00FC3269">
      <w:pPr>
        <w:spacing w:after="0" w:line="240" w:lineRule="auto"/>
        <w:jc w:val="center"/>
        <w:rPr>
          <w:rFonts w:ascii="Times New Roman" w:hAnsi="Times New Roman" w:cs="Times New Roman"/>
          <w:b/>
          <w:sz w:val="20"/>
          <w:szCs w:val="20"/>
        </w:rPr>
      </w:pPr>
      <w:r w:rsidRPr="00FC3269">
        <w:rPr>
          <w:rFonts w:ascii="Times New Roman" w:hAnsi="Times New Roman" w:cs="Times New Roman"/>
          <w:b/>
          <w:sz w:val="20"/>
          <w:szCs w:val="20"/>
        </w:rPr>
        <w:t>Table 4. Within-group comparison of MCQ scores</w:t>
      </w:r>
    </w:p>
    <w:tbl>
      <w:tblPr>
        <w:tblStyle w:val="TableGrid"/>
        <w:tblW w:w="0" w:type="auto"/>
        <w:tblLook w:val="04A0" w:firstRow="1" w:lastRow="0" w:firstColumn="1" w:lastColumn="0" w:noHBand="0" w:noVBand="1"/>
      </w:tblPr>
      <w:tblGrid>
        <w:gridCol w:w="1988"/>
        <w:gridCol w:w="1177"/>
        <w:gridCol w:w="1577"/>
        <w:gridCol w:w="1222"/>
        <w:gridCol w:w="800"/>
      </w:tblGrid>
      <w:tr w:rsidR="003B4B06" w:rsidRPr="0085183C" w14:paraId="49957080" w14:textId="77777777" w:rsidTr="003C414C">
        <w:tc>
          <w:tcPr>
            <w:tcW w:w="0" w:type="auto"/>
            <w:hideMark/>
          </w:tcPr>
          <w:p w14:paraId="26858DED"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Group</w:t>
            </w:r>
          </w:p>
        </w:tc>
        <w:tc>
          <w:tcPr>
            <w:tcW w:w="0" w:type="auto"/>
            <w:hideMark/>
          </w:tcPr>
          <w:p w14:paraId="6CA27225"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Test</w:t>
            </w:r>
          </w:p>
        </w:tc>
        <w:tc>
          <w:tcPr>
            <w:tcW w:w="0" w:type="auto"/>
            <w:hideMark/>
          </w:tcPr>
          <w:p w14:paraId="2F01E65C"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Mean Difference</w:t>
            </w:r>
          </w:p>
        </w:tc>
        <w:tc>
          <w:tcPr>
            <w:tcW w:w="0" w:type="auto"/>
            <w:hideMark/>
          </w:tcPr>
          <w:p w14:paraId="76EF2711"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Test statistic</w:t>
            </w:r>
          </w:p>
        </w:tc>
        <w:tc>
          <w:tcPr>
            <w:tcW w:w="0" w:type="auto"/>
            <w:hideMark/>
          </w:tcPr>
          <w:p w14:paraId="4FBABA99"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p value</w:t>
            </w:r>
          </w:p>
        </w:tc>
      </w:tr>
      <w:tr w:rsidR="003B4B06" w:rsidRPr="0085183C" w14:paraId="4E23B35D" w14:textId="77777777" w:rsidTr="003C414C">
        <w:tc>
          <w:tcPr>
            <w:tcW w:w="0" w:type="auto"/>
            <w:hideMark/>
          </w:tcPr>
          <w:p w14:paraId="0509AE14"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Near-Peer Teaching</w:t>
            </w:r>
          </w:p>
        </w:tc>
        <w:tc>
          <w:tcPr>
            <w:tcW w:w="0" w:type="auto"/>
            <w:hideMark/>
          </w:tcPr>
          <w:p w14:paraId="5F67E4FE"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Paired t-test</w:t>
            </w:r>
          </w:p>
        </w:tc>
        <w:tc>
          <w:tcPr>
            <w:tcW w:w="0" w:type="auto"/>
            <w:hideMark/>
          </w:tcPr>
          <w:p w14:paraId="2FC8D92A"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+4.57</w:t>
            </w:r>
          </w:p>
        </w:tc>
        <w:tc>
          <w:tcPr>
            <w:tcW w:w="0" w:type="auto"/>
            <w:hideMark/>
          </w:tcPr>
          <w:p w14:paraId="473FE185"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t = 8.62</w:t>
            </w:r>
          </w:p>
        </w:tc>
        <w:tc>
          <w:tcPr>
            <w:tcW w:w="0" w:type="auto"/>
            <w:hideMark/>
          </w:tcPr>
          <w:p w14:paraId="78BB8D2B" w14:textId="77777777" w:rsidR="003B4B06" w:rsidRPr="0085183C" w:rsidRDefault="003B4B06" w:rsidP="003C414C">
            <w:pPr>
              <w:jc w:val="both"/>
              <w:rPr>
                <w:rFonts w:ascii="Times New Roman" w:hAnsi="Times New Roman"/>
                <w:sz w:val="20"/>
                <w:szCs w:val="20"/>
              </w:rPr>
            </w:pPr>
            <w:r w:rsidRPr="0085183C">
              <w:rPr>
                <w:rFonts w:ascii="Times New Roman" w:hAnsi="Times New Roman"/>
                <w:bCs/>
                <w:sz w:val="20"/>
                <w:szCs w:val="20"/>
              </w:rPr>
              <w:t>&lt;0.001</w:t>
            </w:r>
          </w:p>
        </w:tc>
      </w:tr>
      <w:tr w:rsidR="003B4B06" w:rsidRPr="0085183C" w14:paraId="435CFB5E" w14:textId="77777777" w:rsidTr="003C414C">
        <w:tc>
          <w:tcPr>
            <w:tcW w:w="0" w:type="auto"/>
            <w:hideMark/>
          </w:tcPr>
          <w:p w14:paraId="4AA4E3A8"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Faculty-Led Teaching</w:t>
            </w:r>
          </w:p>
        </w:tc>
        <w:tc>
          <w:tcPr>
            <w:tcW w:w="0" w:type="auto"/>
            <w:hideMark/>
          </w:tcPr>
          <w:p w14:paraId="32BE7AF3"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Paired t-test</w:t>
            </w:r>
          </w:p>
        </w:tc>
        <w:tc>
          <w:tcPr>
            <w:tcW w:w="0" w:type="auto"/>
            <w:hideMark/>
          </w:tcPr>
          <w:p w14:paraId="507F8ABA"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+2.11</w:t>
            </w:r>
          </w:p>
        </w:tc>
        <w:tc>
          <w:tcPr>
            <w:tcW w:w="0" w:type="auto"/>
            <w:hideMark/>
          </w:tcPr>
          <w:p w14:paraId="47F9E23A"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t = 3.24</w:t>
            </w:r>
          </w:p>
        </w:tc>
        <w:tc>
          <w:tcPr>
            <w:tcW w:w="0" w:type="auto"/>
            <w:hideMark/>
          </w:tcPr>
          <w:p w14:paraId="5868B10C" w14:textId="77777777" w:rsidR="003B4B06" w:rsidRPr="0085183C" w:rsidRDefault="003B4B06" w:rsidP="003C414C">
            <w:pPr>
              <w:jc w:val="both"/>
              <w:rPr>
                <w:rFonts w:ascii="Times New Roman" w:hAnsi="Times New Roman"/>
                <w:sz w:val="20"/>
                <w:szCs w:val="20"/>
              </w:rPr>
            </w:pPr>
            <w:r w:rsidRPr="0085183C">
              <w:rPr>
                <w:rFonts w:ascii="Times New Roman" w:hAnsi="Times New Roman"/>
                <w:bCs/>
                <w:sz w:val="20"/>
                <w:szCs w:val="20"/>
              </w:rPr>
              <w:t>0.002</w:t>
            </w:r>
          </w:p>
        </w:tc>
      </w:tr>
    </w:tbl>
    <w:p w14:paraId="61240F1A" w14:textId="77777777" w:rsidR="003B4B06" w:rsidRPr="0085183C" w:rsidRDefault="003B4B06" w:rsidP="003B4B06">
      <w:pPr>
        <w:pStyle w:val="NormalWeb"/>
        <w:spacing w:afterAutospacing="0"/>
        <w:jc w:val="both"/>
        <w:rPr>
          <w:rFonts w:cs="Times New Roman"/>
          <w:sz w:val="20"/>
          <w:szCs w:val="20"/>
        </w:rPr>
      </w:pPr>
      <w:r w:rsidRPr="0085183C">
        <w:rPr>
          <w:rFonts w:cs="Times New Roman"/>
          <w:sz w:val="20"/>
          <w:szCs w:val="20"/>
        </w:rPr>
        <w:t>Pre-intervention confidence levels were similar in both groups (median 3 [IQR 3–4]; p = 0.89). After the intervention, median confidence scores increased to 4 (IQR 3–4) in both groups, with no statistically significant difference in post-intervention confidence between groups (p = 0.21) (Table 5).</w:t>
      </w:r>
    </w:p>
    <w:p w14:paraId="3F643D00" w14:textId="77777777" w:rsidR="003B4B06" w:rsidRPr="0085183C" w:rsidRDefault="003B4B06" w:rsidP="003B4B06">
      <w:pPr>
        <w:pStyle w:val="NormalWeb"/>
        <w:spacing w:afterAutospacing="0"/>
        <w:jc w:val="both"/>
        <w:rPr>
          <w:rFonts w:cs="Times New Roman"/>
          <w:sz w:val="20"/>
          <w:szCs w:val="20"/>
        </w:rPr>
      </w:pPr>
      <w:r w:rsidRPr="0085183C">
        <w:rPr>
          <w:rFonts w:cs="Times New Roman"/>
          <w:sz w:val="20"/>
          <w:szCs w:val="20"/>
        </w:rPr>
        <w:t>However, within-group analysis using the Wilcoxon signed-rank test demonstrated significant improvement in confidence levels in both the near-peer group (Z = −4.12, p &lt; 0.001) and the faculty-led group (Z = −2.61, p = 0.01).</w:t>
      </w:r>
    </w:p>
    <w:p w14:paraId="263683C8" w14:textId="77777777" w:rsidR="00205009" w:rsidRDefault="00205009" w:rsidP="003B4B06">
      <w:pPr>
        <w:spacing w:after="0" w:line="240" w:lineRule="auto"/>
        <w:jc w:val="both"/>
        <w:rPr>
          <w:rFonts w:ascii="Times New Roman" w:hAnsi="Times New Roman" w:cs="Times New Roman"/>
          <w:b/>
          <w:sz w:val="20"/>
          <w:szCs w:val="20"/>
        </w:rPr>
      </w:pPr>
    </w:p>
    <w:p w14:paraId="0384F9B4" w14:textId="3D2DEEFF" w:rsidR="003B4B06" w:rsidRPr="00205009" w:rsidRDefault="003B4B06" w:rsidP="00205009">
      <w:pPr>
        <w:spacing w:after="0" w:line="240" w:lineRule="auto"/>
        <w:jc w:val="center"/>
        <w:rPr>
          <w:rFonts w:ascii="Times New Roman" w:hAnsi="Times New Roman" w:cs="Times New Roman"/>
          <w:b/>
          <w:sz w:val="20"/>
          <w:szCs w:val="20"/>
        </w:rPr>
      </w:pPr>
      <w:r w:rsidRPr="00205009">
        <w:rPr>
          <w:rFonts w:ascii="Times New Roman" w:hAnsi="Times New Roman" w:cs="Times New Roman"/>
          <w:b/>
          <w:sz w:val="20"/>
          <w:szCs w:val="20"/>
        </w:rPr>
        <w:t>Table 5. Comparison of self-reported confidence levels</w:t>
      </w:r>
    </w:p>
    <w:tbl>
      <w:tblPr>
        <w:tblStyle w:val="TableGrid"/>
        <w:tblW w:w="0" w:type="auto"/>
        <w:tblLook w:val="04A0" w:firstRow="1" w:lastRow="0" w:firstColumn="1" w:lastColumn="0" w:noHBand="0" w:noVBand="1"/>
      </w:tblPr>
      <w:tblGrid>
        <w:gridCol w:w="2893"/>
        <w:gridCol w:w="1821"/>
        <w:gridCol w:w="1988"/>
        <w:gridCol w:w="800"/>
      </w:tblGrid>
      <w:tr w:rsidR="003B4B06" w:rsidRPr="0085183C" w14:paraId="51FB9776" w14:textId="77777777" w:rsidTr="003C414C">
        <w:tc>
          <w:tcPr>
            <w:tcW w:w="0" w:type="auto"/>
            <w:hideMark/>
          </w:tcPr>
          <w:p w14:paraId="1F6C138F"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Confidence score (1–5)</w:t>
            </w:r>
          </w:p>
        </w:tc>
        <w:tc>
          <w:tcPr>
            <w:tcW w:w="0" w:type="auto"/>
            <w:hideMark/>
          </w:tcPr>
          <w:p w14:paraId="10370C06"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Near-Peer Teaching</w:t>
            </w:r>
          </w:p>
        </w:tc>
        <w:tc>
          <w:tcPr>
            <w:tcW w:w="0" w:type="auto"/>
            <w:hideMark/>
          </w:tcPr>
          <w:p w14:paraId="2AD50910"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Faculty-Led Teaching</w:t>
            </w:r>
          </w:p>
        </w:tc>
        <w:tc>
          <w:tcPr>
            <w:tcW w:w="0" w:type="auto"/>
            <w:hideMark/>
          </w:tcPr>
          <w:p w14:paraId="49C97E35"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p value</w:t>
            </w:r>
          </w:p>
        </w:tc>
      </w:tr>
      <w:tr w:rsidR="003B4B06" w:rsidRPr="0085183C" w14:paraId="42131F45" w14:textId="77777777" w:rsidTr="003C414C">
        <w:tc>
          <w:tcPr>
            <w:tcW w:w="0" w:type="auto"/>
            <w:hideMark/>
          </w:tcPr>
          <w:p w14:paraId="3BEE6C66"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Pre-intervention, median (IQR)</w:t>
            </w:r>
          </w:p>
        </w:tc>
        <w:tc>
          <w:tcPr>
            <w:tcW w:w="0" w:type="auto"/>
            <w:hideMark/>
          </w:tcPr>
          <w:p w14:paraId="44C1596D"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3 (3–4)</w:t>
            </w:r>
          </w:p>
        </w:tc>
        <w:tc>
          <w:tcPr>
            <w:tcW w:w="0" w:type="auto"/>
            <w:hideMark/>
          </w:tcPr>
          <w:p w14:paraId="4890724E"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3 (3–4)</w:t>
            </w:r>
          </w:p>
        </w:tc>
        <w:tc>
          <w:tcPr>
            <w:tcW w:w="0" w:type="auto"/>
            <w:hideMark/>
          </w:tcPr>
          <w:p w14:paraId="687DEDA7"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0.89</w:t>
            </w:r>
          </w:p>
        </w:tc>
      </w:tr>
      <w:tr w:rsidR="003B4B06" w:rsidRPr="0085183C" w14:paraId="081E8D19" w14:textId="77777777" w:rsidTr="003C414C">
        <w:tc>
          <w:tcPr>
            <w:tcW w:w="0" w:type="auto"/>
            <w:hideMark/>
          </w:tcPr>
          <w:p w14:paraId="72A380B7"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Post-intervention, median (IQR)</w:t>
            </w:r>
          </w:p>
        </w:tc>
        <w:tc>
          <w:tcPr>
            <w:tcW w:w="0" w:type="auto"/>
            <w:hideMark/>
          </w:tcPr>
          <w:p w14:paraId="058DE6D8"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4 (3–4)</w:t>
            </w:r>
          </w:p>
        </w:tc>
        <w:tc>
          <w:tcPr>
            <w:tcW w:w="0" w:type="auto"/>
            <w:hideMark/>
          </w:tcPr>
          <w:p w14:paraId="2FDD9169"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4 (3–4)</w:t>
            </w:r>
          </w:p>
        </w:tc>
        <w:tc>
          <w:tcPr>
            <w:tcW w:w="0" w:type="auto"/>
            <w:hideMark/>
          </w:tcPr>
          <w:p w14:paraId="622031AC"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0.21</w:t>
            </w:r>
          </w:p>
        </w:tc>
      </w:tr>
      <w:tr w:rsidR="003B4B06" w:rsidRPr="0085183C" w14:paraId="0498FAA5" w14:textId="77777777" w:rsidTr="003C414C">
        <w:tc>
          <w:tcPr>
            <w:tcW w:w="0" w:type="auto"/>
            <w:hideMark/>
          </w:tcPr>
          <w:p w14:paraId="1717A3FE"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Within-group change (Wilcoxon)</w:t>
            </w:r>
          </w:p>
        </w:tc>
        <w:tc>
          <w:tcPr>
            <w:tcW w:w="0" w:type="auto"/>
            <w:hideMark/>
          </w:tcPr>
          <w:p w14:paraId="00FB0BB0"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Z = −4.12</w:t>
            </w:r>
          </w:p>
        </w:tc>
        <w:tc>
          <w:tcPr>
            <w:tcW w:w="0" w:type="auto"/>
            <w:hideMark/>
          </w:tcPr>
          <w:p w14:paraId="39FC0C32"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Z = −2.61</w:t>
            </w:r>
          </w:p>
        </w:tc>
        <w:tc>
          <w:tcPr>
            <w:tcW w:w="0" w:type="auto"/>
            <w:hideMark/>
          </w:tcPr>
          <w:p w14:paraId="156CA8EB" w14:textId="77777777" w:rsidR="003B4B06" w:rsidRPr="0085183C" w:rsidRDefault="003B4B06" w:rsidP="003C414C">
            <w:pPr>
              <w:jc w:val="both"/>
              <w:rPr>
                <w:rFonts w:ascii="Times New Roman" w:hAnsi="Times New Roman"/>
                <w:sz w:val="20"/>
                <w:szCs w:val="20"/>
              </w:rPr>
            </w:pPr>
          </w:p>
        </w:tc>
      </w:tr>
      <w:tr w:rsidR="003B4B06" w:rsidRPr="0085183C" w14:paraId="719BBC0F" w14:textId="77777777" w:rsidTr="003C414C">
        <w:tc>
          <w:tcPr>
            <w:tcW w:w="0" w:type="auto"/>
            <w:hideMark/>
          </w:tcPr>
          <w:p w14:paraId="7BD4330D"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p value (within-group)</w:t>
            </w:r>
          </w:p>
        </w:tc>
        <w:tc>
          <w:tcPr>
            <w:tcW w:w="0" w:type="auto"/>
            <w:hideMark/>
          </w:tcPr>
          <w:p w14:paraId="16B772E2" w14:textId="77777777" w:rsidR="003B4B06" w:rsidRPr="0085183C" w:rsidRDefault="003B4B06" w:rsidP="003C414C">
            <w:pPr>
              <w:jc w:val="both"/>
              <w:rPr>
                <w:rFonts w:ascii="Times New Roman" w:hAnsi="Times New Roman"/>
                <w:sz w:val="20"/>
                <w:szCs w:val="20"/>
              </w:rPr>
            </w:pPr>
            <w:r w:rsidRPr="0085183C">
              <w:rPr>
                <w:rFonts w:ascii="Times New Roman" w:hAnsi="Times New Roman"/>
                <w:bCs/>
                <w:sz w:val="20"/>
                <w:szCs w:val="20"/>
              </w:rPr>
              <w:t>&lt;0.001</w:t>
            </w:r>
          </w:p>
        </w:tc>
        <w:tc>
          <w:tcPr>
            <w:tcW w:w="0" w:type="auto"/>
            <w:hideMark/>
          </w:tcPr>
          <w:p w14:paraId="16BF1701" w14:textId="77777777" w:rsidR="003B4B06" w:rsidRPr="0085183C" w:rsidRDefault="003B4B06" w:rsidP="003C414C">
            <w:pPr>
              <w:jc w:val="both"/>
              <w:rPr>
                <w:rFonts w:ascii="Times New Roman" w:hAnsi="Times New Roman"/>
                <w:sz w:val="20"/>
                <w:szCs w:val="20"/>
              </w:rPr>
            </w:pPr>
            <w:r w:rsidRPr="0085183C">
              <w:rPr>
                <w:rFonts w:ascii="Times New Roman" w:hAnsi="Times New Roman"/>
                <w:bCs/>
                <w:sz w:val="20"/>
                <w:szCs w:val="20"/>
              </w:rPr>
              <w:t>&lt;0.01</w:t>
            </w:r>
          </w:p>
        </w:tc>
        <w:tc>
          <w:tcPr>
            <w:tcW w:w="0" w:type="auto"/>
            <w:hideMark/>
          </w:tcPr>
          <w:p w14:paraId="3BE23F1B" w14:textId="77777777" w:rsidR="003B4B06" w:rsidRPr="0085183C" w:rsidRDefault="003B4B06" w:rsidP="003C414C">
            <w:pPr>
              <w:jc w:val="both"/>
              <w:rPr>
                <w:rFonts w:ascii="Times New Roman" w:hAnsi="Times New Roman"/>
                <w:sz w:val="20"/>
                <w:szCs w:val="20"/>
              </w:rPr>
            </w:pPr>
          </w:p>
        </w:tc>
      </w:tr>
    </w:tbl>
    <w:p w14:paraId="7E8A6FB3" w14:textId="77777777" w:rsidR="003B4B06" w:rsidRPr="0085183C" w:rsidRDefault="003B4B06" w:rsidP="003B4B06">
      <w:pPr>
        <w:spacing w:after="0" w:line="240" w:lineRule="auto"/>
        <w:jc w:val="both"/>
        <w:rPr>
          <w:rFonts w:ascii="Times New Roman" w:hAnsi="Times New Roman" w:cs="Times New Roman"/>
          <w:sz w:val="20"/>
          <w:szCs w:val="20"/>
        </w:rPr>
      </w:pPr>
    </w:p>
    <w:p w14:paraId="1FEC27BB" w14:textId="77777777" w:rsidR="003B4B06" w:rsidRPr="0085183C" w:rsidRDefault="003B4B06" w:rsidP="003B4B06">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Student satisfaction scores were significantly higher in the Near-Peer Teaching group. A satisfaction score ≥4 was reported by 77.8% of students in the near-peer group compared to 57.8% in the faculty-led group (p = 0.04) (Table 6).</w:t>
      </w:r>
    </w:p>
    <w:p w14:paraId="4D0B5099" w14:textId="77777777" w:rsidR="00205009" w:rsidRDefault="00205009" w:rsidP="00205009">
      <w:pPr>
        <w:spacing w:after="0" w:line="240" w:lineRule="auto"/>
        <w:jc w:val="center"/>
        <w:rPr>
          <w:rFonts w:ascii="Times New Roman" w:hAnsi="Times New Roman" w:cs="Times New Roman"/>
          <w:b/>
          <w:sz w:val="20"/>
          <w:szCs w:val="20"/>
        </w:rPr>
      </w:pPr>
    </w:p>
    <w:p w14:paraId="41BCF498" w14:textId="146A4CA7" w:rsidR="003B4B06" w:rsidRPr="00205009" w:rsidRDefault="003B4B06" w:rsidP="00205009">
      <w:pPr>
        <w:spacing w:after="0" w:line="240" w:lineRule="auto"/>
        <w:jc w:val="center"/>
        <w:rPr>
          <w:rFonts w:ascii="Times New Roman" w:hAnsi="Times New Roman" w:cs="Times New Roman"/>
          <w:b/>
          <w:sz w:val="20"/>
          <w:szCs w:val="20"/>
        </w:rPr>
      </w:pPr>
      <w:r w:rsidRPr="00205009">
        <w:rPr>
          <w:rFonts w:ascii="Times New Roman" w:hAnsi="Times New Roman" w:cs="Times New Roman"/>
          <w:b/>
          <w:sz w:val="20"/>
          <w:szCs w:val="20"/>
        </w:rPr>
        <w:t>Table 6. Student satisfaction with teaching method</w:t>
      </w:r>
    </w:p>
    <w:tbl>
      <w:tblPr>
        <w:tblStyle w:val="TableGrid"/>
        <w:tblW w:w="0" w:type="auto"/>
        <w:tblLook w:val="04A0" w:firstRow="1" w:lastRow="0" w:firstColumn="1" w:lastColumn="0" w:noHBand="0" w:noVBand="1"/>
      </w:tblPr>
      <w:tblGrid>
        <w:gridCol w:w="2445"/>
        <w:gridCol w:w="2517"/>
        <w:gridCol w:w="2684"/>
        <w:gridCol w:w="800"/>
      </w:tblGrid>
      <w:tr w:rsidR="003B4B06" w:rsidRPr="0085183C" w14:paraId="6F9EFA00" w14:textId="77777777" w:rsidTr="003C414C">
        <w:tc>
          <w:tcPr>
            <w:tcW w:w="0" w:type="auto"/>
            <w:hideMark/>
          </w:tcPr>
          <w:p w14:paraId="090045E3"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Satisfaction parameter</w:t>
            </w:r>
          </w:p>
        </w:tc>
        <w:tc>
          <w:tcPr>
            <w:tcW w:w="0" w:type="auto"/>
            <w:hideMark/>
          </w:tcPr>
          <w:p w14:paraId="6A85C0B2"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Near-Peer Teaching (n = 45)</w:t>
            </w:r>
          </w:p>
        </w:tc>
        <w:tc>
          <w:tcPr>
            <w:tcW w:w="0" w:type="auto"/>
            <w:hideMark/>
          </w:tcPr>
          <w:p w14:paraId="283E6573"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Faculty-Led Teaching (n = 45)</w:t>
            </w:r>
          </w:p>
        </w:tc>
        <w:tc>
          <w:tcPr>
            <w:tcW w:w="0" w:type="auto"/>
            <w:hideMark/>
          </w:tcPr>
          <w:p w14:paraId="7CC6BF1F" w14:textId="77777777" w:rsidR="003B4B06" w:rsidRPr="0085183C" w:rsidRDefault="003B4B06" w:rsidP="003C414C">
            <w:pPr>
              <w:jc w:val="both"/>
              <w:rPr>
                <w:rFonts w:ascii="Times New Roman" w:hAnsi="Times New Roman"/>
                <w:bCs/>
                <w:sz w:val="20"/>
                <w:szCs w:val="20"/>
              </w:rPr>
            </w:pPr>
            <w:r w:rsidRPr="0085183C">
              <w:rPr>
                <w:rFonts w:ascii="Times New Roman" w:hAnsi="Times New Roman"/>
                <w:bCs/>
                <w:sz w:val="20"/>
                <w:szCs w:val="20"/>
              </w:rPr>
              <w:t>p value</w:t>
            </w:r>
          </w:p>
        </w:tc>
      </w:tr>
      <w:tr w:rsidR="003B4B06" w:rsidRPr="0085183C" w14:paraId="7125BD2B" w14:textId="77777777" w:rsidTr="003C414C">
        <w:tc>
          <w:tcPr>
            <w:tcW w:w="0" w:type="auto"/>
            <w:hideMark/>
          </w:tcPr>
          <w:p w14:paraId="40E9C803"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Satisfaction score ≥4, n (%)</w:t>
            </w:r>
          </w:p>
        </w:tc>
        <w:tc>
          <w:tcPr>
            <w:tcW w:w="0" w:type="auto"/>
            <w:hideMark/>
          </w:tcPr>
          <w:p w14:paraId="63AAF839"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35 (77.8%)</w:t>
            </w:r>
          </w:p>
        </w:tc>
        <w:tc>
          <w:tcPr>
            <w:tcW w:w="0" w:type="auto"/>
            <w:hideMark/>
          </w:tcPr>
          <w:p w14:paraId="31019A72"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26 (57.8%)</w:t>
            </w:r>
          </w:p>
        </w:tc>
        <w:tc>
          <w:tcPr>
            <w:tcW w:w="0" w:type="auto"/>
            <w:hideMark/>
          </w:tcPr>
          <w:p w14:paraId="258EC4EF" w14:textId="77777777" w:rsidR="003B4B06" w:rsidRPr="0085183C" w:rsidRDefault="003B4B06" w:rsidP="003C414C">
            <w:pPr>
              <w:jc w:val="both"/>
              <w:rPr>
                <w:rFonts w:ascii="Times New Roman" w:hAnsi="Times New Roman"/>
                <w:sz w:val="20"/>
                <w:szCs w:val="20"/>
              </w:rPr>
            </w:pPr>
            <w:r w:rsidRPr="0085183C">
              <w:rPr>
                <w:rFonts w:ascii="Times New Roman" w:hAnsi="Times New Roman"/>
                <w:bCs/>
                <w:sz w:val="20"/>
                <w:szCs w:val="20"/>
              </w:rPr>
              <w:t>0.04</w:t>
            </w:r>
          </w:p>
        </w:tc>
      </w:tr>
      <w:tr w:rsidR="003B4B06" w:rsidRPr="0085183C" w14:paraId="07396D6A" w14:textId="77777777" w:rsidTr="003C414C">
        <w:tc>
          <w:tcPr>
            <w:tcW w:w="0" w:type="auto"/>
            <w:hideMark/>
          </w:tcPr>
          <w:p w14:paraId="4FD70B3D"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Satisfaction score &lt;4, n (%)</w:t>
            </w:r>
          </w:p>
        </w:tc>
        <w:tc>
          <w:tcPr>
            <w:tcW w:w="0" w:type="auto"/>
            <w:hideMark/>
          </w:tcPr>
          <w:p w14:paraId="07D6FD4D"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10 (22.2%)</w:t>
            </w:r>
          </w:p>
        </w:tc>
        <w:tc>
          <w:tcPr>
            <w:tcW w:w="0" w:type="auto"/>
            <w:hideMark/>
          </w:tcPr>
          <w:p w14:paraId="5DC03A27" w14:textId="77777777" w:rsidR="003B4B06" w:rsidRPr="0085183C" w:rsidRDefault="003B4B06" w:rsidP="003C414C">
            <w:pPr>
              <w:jc w:val="both"/>
              <w:rPr>
                <w:rFonts w:ascii="Times New Roman" w:hAnsi="Times New Roman"/>
                <w:sz w:val="20"/>
                <w:szCs w:val="20"/>
              </w:rPr>
            </w:pPr>
            <w:r w:rsidRPr="0085183C">
              <w:rPr>
                <w:rFonts w:ascii="Times New Roman" w:hAnsi="Times New Roman"/>
                <w:sz w:val="20"/>
                <w:szCs w:val="20"/>
              </w:rPr>
              <w:t>19 (42.2%)</w:t>
            </w:r>
          </w:p>
        </w:tc>
        <w:tc>
          <w:tcPr>
            <w:tcW w:w="0" w:type="auto"/>
            <w:hideMark/>
          </w:tcPr>
          <w:p w14:paraId="3283D970" w14:textId="77777777" w:rsidR="003B4B06" w:rsidRPr="0085183C" w:rsidRDefault="003B4B06" w:rsidP="003C414C">
            <w:pPr>
              <w:jc w:val="both"/>
              <w:rPr>
                <w:rFonts w:ascii="Times New Roman" w:hAnsi="Times New Roman"/>
                <w:sz w:val="20"/>
                <w:szCs w:val="20"/>
              </w:rPr>
            </w:pPr>
          </w:p>
        </w:tc>
      </w:tr>
    </w:tbl>
    <w:p w14:paraId="3125B245" w14:textId="77777777" w:rsidR="003B4B06" w:rsidRDefault="003B4B06">
      <w:pPr>
        <w:widowControl w:val="0"/>
        <w:autoSpaceDE w:val="0"/>
        <w:autoSpaceDN w:val="0"/>
        <w:adjustRightInd w:val="0"/>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Students exposed to near-peer teaching reported significantly higher satisfaction compared to those taught by faculty</w:t>
      </w:r>
      <w:r>
        <w:rPr>
          <w:rFonts w:ascii="Times New Roman" w:hAnsi="Times New Roman" w:cs="Times New Roman"/>
          <w:sz w:val="20"/>
          <w:szCs w:val="20"/>
        </w:rPr>
        <w:t>.</w:t>
      </w:r>
    </w:p>
    <w:p w14:paraId="18609A43" w14:textId="77777777" w:rsidR="003B4B06" w:rsidRDefault="003B4B06">
      <w:pPr>
        <w:widowControl w:val="0"/>
        <w:autoSpaceDE w:val="0"/>
        <w:autoSpaceDN w:val="0"/>
        <w:adjustRightInd w:val="0"/>
        <w:spacing w:after="0" w:line="240" w:lineRule="auto"/>
        <w:jc w:val="both"/>
        <w:rPr>
          <w:rFonts w:ascii="Times New Roman" w:hAnsi="Times New Roman" w:cs="Times New Roman"/>
          <w:sz w:val="20"/>
          <w:szCs w:val="20"/>
        </w:rPr>
      </w:pPr>
    </w:p>
    <w:p w14:paraId="6314A01F" w14:textId="0E34BDC3" w:rsidR="004F23D2" w:rsidRDefault="00000000">
      <w:pPr>
        <w:widowControl w:val="0"/>
        <w:autoSpaceDE w:val="0"/>
        <w:autoSpaceDN w:val="0"/>
        <w:adjustRightInd w:val="0"/>
        <w:spacing w:after="0" w:line="240" w:lineRule="auto"/>
        <w:jc w:val="both"/>
        <w:rPr>
          <w:rFonts w:ascii="Times New Roman" w:hAnsi="Times New Roman" w:cs="Times New Roman"/>
          <w:b/>
          <w:color w:val="000000"/>
          <w:kern w:val="24"/>
          <w:sz w:val="20"/>
          <w:szCs w:val="20"/>
          <w:u w:val="single"/>
        </w:rPr>
      </w:pPr>
      <w:r>
        <w:rPr>
          <w:rFonts w:ascii="Times New Roman" w:hAnsi="Times New Roman" w:cs="Times New Roman"/>
          <w:b/>
          <w:color w:val="000000"/>
          <w:kern w:val="24"/>
          <w:sz w:val="20"/>
          <w:szCs w:val="20"/>
        </w:rPr>
        <w:t>DISCUSSION</w:t>
      </w:r>
    </w:p>
    <w:p w14:paraId="1461DC96" w14:textId="77777777" w:rsidR="00594C37" w:rsidRDefault="00594C37" w:rsidP="00594C37">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 xml:space="preserve">In this prospective comparative interventional study of 90 third-year MBBS students, the structured near-peer teaching (NPT) programme was associated with superior clinical skills performance as measured by OSCE scores, greater gains in MCQ knowledge scores, and higher student satisfaction compared with an equivalent faculty-led programme. Both methods improved self-reported confidence, but the magnitude of confidence change did not differ significantly between groups. Overall, these results indicate that a well-structured NPT intervention can produce at least comparable </w:t>
      </w:r>
      <w:proofErr w:type="gramStart"/>
      <w:r w:rsidRPr="0085183C">
        <w:rPr>
          <w:rFonts w:ascii="Times New Roman" w:hAnsi="Times New Roman" w:cs="Times New Roman"/>
          <w:sz w:val="20"/>
          <w:szCs w:val="20"/>
        </w:rPr>
        <w:t>and in several domains</w:t>
      </w:r>
      <w:proofErr w:type="gramEnd"/>
      <w:r w:rsidRPr="0085183C">
        <w:rPr>
          <w:rFonts w:ascii="Times New Roman" w:hAnsi="Times New Roman" w:cs="Times New Roman"/>
          <w:sz w:val="20"/>
          <w:szCs w:val="20"/>
        </w:rPr>
        <w:t xml:space="preserve"> superior, short-term educational outcomes to faculty instruction in the MBBS third-year setting.</w:t>
      </w:r>
    </w:p>
    <w:p w14:paraId="486F2AC7" w14:textId="77777777" w:rsidR="00594C37" w:rsidRPr="0085183C" w:rsidRDefault="00594C37" w:rsidP="00594C37">
      <w:pPr>
        <w:spacing w:after="0" w:line="240" w:lineRule="auto"/>
        <w:jc w:val="both"/>
        <w:rPr>
          <w:rFonts w:ascii="Times New Roman" w:hAnsi="Times New Roman" w:cs="Times New Roman"/>
          <w:sz w:val="20"/>
          <w:szCs w:val="20"/>
        </w:rPr>
      </w:pPr>
    </w:p>
    <w:p w14:paraId="09582656" w14:textId="77777777" w:rsidR="00594C37" w:rsidRDefault="00594C37" w:rsidP="00594C37">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lastRenderedPageBreak/>
        <w:t>Our primary finding, higher OSCE scores among students taught by near-peers, aligns with several reports that demonstrate equal or improved practical performance following near-peer or peer-assisted programmes. Rashid et al. reported that a near-peer programme developed and delivered exclusively by senior students improved OSCE preparation and performance in undergraduate cohorts, suggesting that near-peer tutors can be trained to deliver reliable, high-quality skills training.</w:t>
      </w:r>
      <w:r w:rsidRPr="0085183C">
        <w:rPr>
          <w:rFonts w:ascii="Times New Roman" w:hAnsi="Times New Roman" w:cs="Times New Roman"/>
          <w:sz w:val="20"/>
          <w:szCs w:val="20"/>
          <w:vertAlign w:val="superscript"/>
        </w:rPr>
        <w:t>7</w:t>
      </w:r>
      <w:r w:rsidRPr="0085183C">
        <w:rPr>
          <w:rFonts w:ascii="Times New Roman" w:hAnsi="Times New Roman" w:cs="Times New Roman"/>
          <w:sz w:val="20"/>
          <w:szCs w:val="20"/>
        </w:rPr>
        <w:t xml:space="preserve"> </w:t>
      </w:r>
    </w:p>
    <w:p w14:paraId="56E9CB5F" w14:textId="77777777" w:rsidR="00594C37" w:rsidRPr="0085183C" w:rsidRDefault="00594C37" w:rsidP="00594C37">
      <w:pPr>
        <w:spacing w:after="0" w:line="240" w:lineRule="auto"/>
        <w:jc w:val="both"/>
        <w:rPr>
          <w:rFonts w:ascii="Times New Roman" w:hAnsi="Times New Roman" w:cs="Times New Roman"/>
          <w:sz w:val="20"/>
          <w:szCs w:val="20"/>
        </w:rPr>
      </w:pPr>
    </w:p>
    <w:p w14:paraId="15C35B6E" w14:textId="77777777" w:rsidR="00594C37" w:rsidRPr="0085183C" w:rsidRDefault="00594C37" w:rsidP="00594C37">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Similarly, an interventional study comparing near-peer to faculty instruction in focused point-of-care ultrasound (POCUS) found comparable effectiveness of near-peer instruction for practical skill acquisition, supporting the use of near-peer instructors for procedural and bedside skills when appropriate tutor training and standardization are provided.</w:t>
      </w:r>
      <w:r w:rsidRPr="0085183C">
        <w:rPr>
          <w:rFonts w:ascii="Times New Roman" w:hAnsi="Times New Roman" w:cs="Times New Roman"/>
          <w:sz w:val="20"/>
          <w:szCs w:val="20"/>
          <w:vertAlign w:val="superscript"/>
        </w:rPr>
        <w:t>8</w:t>
      </w:r>
    </w:p>
    <w:p w14:paraId="0297488E" w14:textId="77777777" w:rsidR="00594C37" w:rsidRDefault="00594C37" w:rsidP="00594C37">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Systematic reviews and meta-analyses reinforce these single-site results. A comprehensive systematic review of peer-assisted learning in medical education concluded that peer involvement generally improves academic performance and procedural skills, and is associated with gains in learner confidence although effect sizes vary by outcome and context. Our results (OSCE advantage ~6 points; larger knowledge gains in the NPT arm) are consistent with the positive pooled signal reported in that review.</w:t>
      </w:r>
      <w:r w:rsidRPr="0085183C">
        <w:rPr>
          <w:rFonts w:ascii="Times New Roman" w:hAnsi="Times New Roman" w:cs="Times New Roman"/>
          <w:sz w:val="20"/>
          <w:szCs w:val="20"/>
          <w:vertAlign w:val="superscript"/>
        </w:rPr>
        <w:t>9</w:t>
      </w:r>
      <w:r w:rsidRPr="0085183C">
        <w:rPr>
          <w:rFonts w:ascii="Times New Roman" w:hAnsi="Times New Roman" w:cs="Times New Roman"/>
          <w:sz w:val="20"/>
          <w:szCs w:val="20"/>
        </w:rPr>
        <w:t xml:space="preserve"> </w:t>
      </w:r>
    </w:p>
    <w:p w14:paraId="6CD76C53" w14:textId="77777777" w:rsidR="00594C37" w:rsidRPr="0085183C" w:rsidRDefault="00594C37" w:rsidP="00594C37">
      <w:pPr>
        <w:spacing w:after="0" w:line="240" w:lineRule="auto"/>
        <w:jc w:val="both"/>
        <w:rPr>
          <w:rFonts w:ascii="Times New Roman" w:hAnsi="Times New Roman" w:cs="Times New Roman"/>
          <w:sz w:val="20"/>
          <w:szCs w:val="20"/>
        </w:rPr>
      </w:pPr>
    </w:p>
    <w:p w14:paraId="00C72EE8" w14:textId="77777777" w:rsidR="00594C37" w:rsidRDefault="00594C37" w:rsidP="00594C37">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Mock OSCE and confidence-focused studies provide further context. Braier-Lorimer et al. described a near-peer-led mock OSCE that significantly increased students’ self-rated confidence ahead of high-stakes assessments, even when objective performance gains were mixed; this complements our observation that both groups reported increased confidence, while the near-peer group showed greater objective gains.</w:t>
      </w:r>
      <w:r w:rsidRPr="0085183C">
        <w:rPr>
          <w:rFonts w:ascii="Times New Roman" w:hAnsi="Times New Roman" w:cs="Times New Roman"/>
          <w:sz w:val="20"/>
          <w:szCs w:val="20"/>
          <w:vertAlign w:val="superscript"/>
        </w:rPr>
        <w:t>10</w:t>
      </w:r>
      <w:r w:rsidRPr="0085183C">
        <w:rPr>
          <w:rFonts w:ascii="Times New Roman" w:hAnsi="Times New Roman" w:cs="Times New Roman"/>
          <w:sz w:val="20"/>
          <w:szCs w:val="20"/>
        </w:rPr>
        <w:t xml:space="preserve"> </w:t>
      </w:r>
    </w:p>
    <w:p w14:paraId="4DC6B195" w14:textId="77777777" w:rsidR="00594C37" w:rsidRPr="0085183C" w:rsidRDefault="00594C37" w:rsidP="00594C37">
      <w:pPr>
        <w:spacing w:after="0" w:line="240" w:lineRule="auto"/>
        <w:jc w:val="both"/>
        <w:rPr>
          <w:rFonts w:ascii="Times New Roman" w:hAnsi="Times New Roman" w:cs="Times New Roman"/>
          <w:sz w:val="20"/>
          <w:szCs w:val="20"/>
        </w:rPr>
      </w:pPr>
    </w:p>
    <w:p w14:paraId="745F1A0D" w14:textId="77777777" w:rsidR="00594C37" w:rsidRDefault="00594C37" w:rsidP="00594C37">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Regional and discipline-specific evaluations including controlled comparative studies from Indian settings and surgical skills training commonly report that near-peer approaches are at least as effective as faculty teaching for procedural and clinical skills, and are often rated highly for accessibility, approachability, and learner satisfaction. These contextual findings support the feasibility and acceptability of implementing NPT within MBBS curricula in resource-constrained or high-student-teacher ratio environments.</w:t>
      </w:r>
      <w:r w:rsidRPr="0085183C">
        <w:rPr>
          <w:rFonts w:ascii="Times New Roman" w:hAnsi="Times New Roman" w:cs="Times New Roman"/>
          <w:sz w:val="20"/>
          <w:szCs w:val="20"/>
          <w:vertAlign w:val="superscript"/>
        </w:rPr>
        <w:t>11</w:t>
      </w:r>
      <w:r w:rsidRPr="0085183C">
        <w:rPr>
          <w:rFonts w:ascii="Times New Roman" w:hAnsi="Times New Roman" w:cs="Times New Roman"/>
          <w:sz w:val="20"/>
          <w:szCs w:val="20"/>
        </w:rPr>
        <w:t xml:space="preserve"> </w:t>
      </w:r>
    </w:p>
    <w:p w14:paraId="7F443A0C" w14:textId="77777777" w:rsidR="00594C37" w:rsidRPr="0085183C" w:rsidRDefault="00594C37" w:rsidP="00594C37">
      <w:pPr>
        <w:spacing w:after="0" w:line="240" w:lineRule="auto"/>
        <w:jc w:val="both"/>
        <w:rPr>
          <w:rFonts w:ascii="Times New Roman" w:hAnsi="Times New Roman" w:cs="Times New Roman"/>
          <w:sz w:val="20"/>
          <w:szCs w:val="20"/>
        </w:rPr>
      </w:pPr>
    </w:p>
    <w:p w14:paraId="7F775628" w14:textId="77777777" w:rsidR="00594C37" w:rsidRPr="0085183C" w:rsidRDefault="00594C37" w:rsidP="00594C37">
      <w:pPr>
        <w:spacing w:after="0" w:line="240" w:lineRule="auto"/>
        <w:jc w:val="both"/>
        <w:rPr>
          <w:rFonts w:ascii="Times New Roman" w:hAnsi="Times New Roman" w:cs="Times New Roman"/>
          <w:b/>
          <w:bCs/>
          <w:sz w:val="20"/>
          <w:szCs w:val="20"/>
        </w:rPr>
      </w:pPr>
      <w:r w:rsidRPr="0085183C">
        <w:rPr>
          <w:rFonts w:ascii="Times New Roman" w:hAnsi="Times New Roman" w:cs="Times New Roman"/>
          <w:b/>
          <w:bCs/>
          <w:sz w:val="20"/>
          <w:szCs w:val="20"/>
        </w:rPr>
        <w:t>Possible mechanisms</w:t>
      </w:r>
    </w:p>
    <w:p w14:paraId="203129DB" w14:textId="77777777" w:rsidR="00594C37" w:rsidRDefault="00594C37" w:rsidP="00594C37">
      <w:pPr>
        <w:spacing w:after="0" w:line="240" w:lineRule="auto"/>
        <w:jc w:val="both"/>
        <w:rPr>
          <w:rFonts w:ascii="Times New Roman" w:hAnsi="Times New Roman" w:cs="Times New Roman"/>
          <w:sz w:val="20"/>
          <w:szCs w:val="20"/>
          <w:vertAlign w:val="superscript"/>
        </w:rPr>
      </w:pPr>
      <w:r w:rsidRPr="0085183C">
        <w:rPr>
          <w:rFonts w:ascii="Times New Roman" w:hAnsi="Times New Roman" w:cs="Times New Roman"/>
          <w:sz w:val="20"/>
          <w:szCs w:val="20"/>
        </w:rPr>
        <w:t>Several mechanisms likely explain the observed benefits. Near-peer tutors operate with cognitive and social congruence: they remember recent learner difficulties, use more targeted language and heuristics, and create a lower-anxiety learning climate that encourages repeated practice. When coupled with structured lesson plans, validated checklists, and tutor training (as in our programme), these factors improve feedback quality and increase deliberate practice — both crucial for psychomotor skill acquisition and retention. These mechanisms are consistent with theoretical and empirical discussions in the near-peer literature.</w:t>
      </w:r>
      <w:r w:rsidRPr="0085183C">
        <w:rPr>
          <w:rFonts w:ascii="Times New Roman" w:hAnsi="Times New Roman" w:cs="Times New Roman"/>
          <w:sz w:val="20"/>
          <w:szCs w:val="20"/>
          <w:vertAlign w:val="superscript"/>
        </w:rPr>
        <w:t>7,9</w:t>
      </w:r>
    </w:p>
    <w:p w14:paraId="344A9F55" w14:textId="77777777" w:rsidR="00594C37" w:rsidRPr="0085183C" w:rsidRDefault="00594C37" w:rsidP="00594C37">
      <w:pPr>
        <w:spacing w:after="0" w:line="240" w:lineRule="auto"/>
        <w:jc w:val="both"/>
        <w:rPr>
          <w:rFonts w:ascii="Times New Roman" w:hAnsi="Times New Roman" w:cs="Times New Roman"/>
          <w:sz w:val="20"/>
          <w:szCs w:val="20"/>
        </w:rPr>
      </w:pPr>
    </w:p>
    <w:p w14:paraId="191F6AA3" w14:textId="77777777" w:rsidR="00594C37" w:rsidRPr="0085183C" w:rsidRDefault="00594C37" w:rsidP="00594C37">
      <w:pPr>
        <w:spacing w:after="0" w:line="240" w:lineRule="auto"/>
        <w:jc w:val="both"/>
        <w:rPr>
          <w:rFonts w:ascii="Times New Roman" w:hAnsi="Times New Roman" w:cs="Times New Roman"/>
          <w:b/>
          <w:bCs/>
          <w:sz w:val="20"/>
          <w:szCs w:val="20"/>
        </w:rPr>
      </w:pPr>
      <w:r w:rsidRPr="0085183C">
        <w:rPr>
          <w:rFonts w:ascii="Times New Roman" w:hAnsi="Times New Roman" w:cs="Times New Roman"/>
          <w:b/>
          <w:bCs/>
          <w:sz w:val="20"/>
          <w:szCs w:val="20"/>
        </w:rPr>
        <w:t>Strengths</w:t>
      </w:r>
    </w:p>
    <w:p w14:paraId="654AABE8" w14:textId="77777777" w:rsidR="00594C37" w:rsidRDefault="00594C37" w:rsidP="00594C37">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Key strengths include: (1) matched teaching schedules and standardized checklists across arms, reducing content bias; (2) blinded OSCE examiners to reduce assessment bias; (3) multiple outcome domains (objective OSCE, knowledge MCQ, confidence, and satisfaction) offering a broader view of educational impact; and (4) tutor preparation workshops, which increased standardization of the NPT intervention and improve reproducibility.</w:t>
      </w:r>
    </w:p>
    <w:p w14:paraId="0513CC24" w14:textId="77777777" w:rsidR="00594C37" w:rsidRPr="0085183C" w:rsidRDefault="00594C37" w:rsidP="00594C37">
      <w:pPr>
        <w:spacing w:after="0" w:line="240" w:lineRule="auto"/>
        <w:jc w:val="both"/>
        <w:rPr>
          <w:rFonts w:ascii="Times New Roman" w:hAnsi="Times New Roman" w:cs="Times New Roman"/>
          <w:sz w:val="20"/>
          <w:szCs w:val="20"/>
        </w:rPr>
      </w:pPr>
    </w:p>
    <w:p w14:paraId="7CB1C210" w14:textId="77777777" w:rsidR="00594C37" w:rsidRPr="0085183C" w:rsidRDefault="00594C37" w:rsidP="00594C37">
      <w:pPr>
        <w:spacing w:after="0" w:line="240" w:lineRule="auto"/>
        <w:jc w:val="both"/>
        <w:rPr>
          <w:rFonts w:ascii="Times New Roman" w:hAnsi="Times New Roman" w:cs="Times New Roman"/>
          <w:b/>
          <w:bCs/>
          <w:sz w:val="20"/>
          <w:szCs w:val="20"/>
        </w:rPr>
      </w:pPr>
      <w:r w:rsidRPr="0085183C">
        <w:rPr>
          <w:rFonts w:ascii="Times New Roman" w:hAnsi="Times New Roman" w:cs="Times New Roman"/>
          <w:b/>
          <w:bCs/>
          <w:sz w:val="20"/>
          <w:szCs w:val="20"/>
        </w:rPr>
        <w:t>Limitations</w:t>
      </w:r>
    </w:p>
    <w:p w14:paraId="4A6ED766" w14:textId="77777777" w:rsidR="00594C37" w:rsidRDefault="00594C37" w:rsidP="00594C37">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Several limitations should be acknowledged. First, the study design is a prospective comparative interventional study rather than a randomized controlled trial, allocation by existing academic groupings may introduce selection or cohort effects despite comparable baseline scores. Second, the follow-up was short term (OSCE one week after intervention); longer-term retention and transfer to real clinical settings were not assessed. Third, self-reported confidence and satisfaction are inherently subjective and susceptible to response bias. Fourth, although examiners were blinded, students and tutors were not, which could introduce performance or Hawthorne effects. Finally, while our sample size provided adequate power to detect the observed OSCE difference, the study was single-centre and may have limited generalizability to different institutional or cultural contexts.</w:t>
      </w:r>
    </w:p>
    <w:p w14:paraId="710C9EFE" w14:textId="77777777" w:rsidR="00594C37" w:rsidRPr="0085183C" w:rsidRDefault="00594C37" w:rsidP="00594C37">
      <w:pPr>
        <w:spacing w:after="0" w:line="240" w:lineRule="auto"/>
        <w:jc w:val="both"/>
        <w:rPr>
          <w:rFonts w:ascii="Times New Roman" w:hAnsi="Times New Roman" w:cs="Times New Roman"/>
          <w:sz w:val="20"/>
          <w:szCs w:val="20"/>
        </w:rPr>
      </w:pPr>
    </w:p>
    <w:p w14:paraId="194A3A00" w14:textId="77777777" w:rsidR="00594C37" w:rsidRPr="0085183C" w:rsidRDefault="00594C37" w:rsidP="00594C37">
      <w:pPr>
        <w:spacing w:after="0" w:line="240" w:lineRule="auto"/>
        <w:jc w:val="both"/>
        <w:rPr>
          <w:rFonts w:ascii="Times New Roman" w:hAnsi="Times New Roman" w:cs="Times New Roman"/>
          <w:b/>
          <w:bCs/>
          <w:sz w:val="20"/>
          <w:szCs w:val="20"/>
        </w:rPr>
      </w:pPr>
      <w:r w:rsidRPr="0085183C">
        <w:rPr>
          <w:rFonts w:ascii="Times New Roman" w:hAnsi="Times New Roman" w:cs="Times New Roman"/>
          <w:b/>
          <w:bCs/>
          <w:sz w:val="20"/>
          <w:szCs w:val="20"/>
        </w:rPr>
        <w:t>Implications for educators and curriculum planners</w:t>
      </w:r>
    </w:p>
    <w:p w14:paraId="4F9FD296" w14:textId="77777777" w:rsidR="00594C37" w:rsidRDefault="00594C37" w:rsidP="00594C37">
      <w:pPr>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Our findings support integrating structured NPT programmes into MBBS clinical skills curricula as a scalable approach to augment faculty teaching. Practically important elements that likely contributed to success and are recommended for replication include: formal tutor selection, short train-the-tutor workshops focused on teaching and feedback skills, use of validated checklists and standardized lesson plans, and examiner blinding when possible. Near-peer programmes can expand instructional capacity, increase opportunities for low-stakes repetitive practice, and improve learner satisfaction without compromising, and in many cases improving objective performance.</w:t>
      </w:r>
    </w:p>
    <w:p w14:paraId="05BF81E6" w14:textId="77777777" w:rsidR="00594C37" w:rsidRPr="0085183C" w:rsidRDefault="00594C37" w:rsidP="00594C37">
      <w:pPr>
        <w:spacing w:after="0" w:line="240" w:lineRule="auto"/>
        <w:jc w:val="both"/>
        <w:rPr>
          <w:rFonts w:ascii="Times New Roman" w:hAnsi="Times New Roman" w:cs="Times New Roman"/>
          <w:sz w:val="20"/>
          <w:szCs w:val="20"/>
        </w:rPr>
      </w:pPr>
    </w:p>
    <w:p w14:paraId="415EB45C" w14:textId="77777777" w:rsidR="00594C37" w:rsidRPr="0085183C" w:rsidRDefault="00594C37" w:rsidP="00594C37">
      <w:pPr>
        <w:spacing w:after="0" w:line="240" w:lineRule="auto"/>
        <w:jc w:val="both"/>
        <w:rPr>
          <w:rFonts w:ascii="Times New Roman" w:hAnsi="Times New Roman" w:cs="Times New Roman"/>
          <w:b/>
          <w:bCs/>
          <w:sz w:val="20"/>
          <w:szCs w:val="20"/>
        </w:rPr>
      </w:pPr>
      <w:r w:rsidRPr="0085183C">
        <w:rPr>
          <w:rFonts w:ascii="Times New Roman" w:hAnsi="Times New Roman" w:cs="Times New Roman"/>
          <w:b/>
          <w:bCs/>
          <w:sz w:val="20"/>
          <w:szCs w:val="20"/>
        </w:rPr>
        <w:t>Future research</w:t>
      </w:r>
    </w:p>
    <w:p w14:paraId="519825EE" w14:textId="01299564" w:rsidR="00594C37" w:rsidRDefault="00594C37" w:rsidP="00594C37">
      <w:pPr>
        <w:widowControl w:val="0"/>
        <w:autoSpaceDE w:val="0"/>
        <w:autoSpaceDN w:val="0"/>
        <w:adjustRightInd w:val="0"/>
        <w:spacing w:after="0" w:line="240" w:lineRule="auto"/>
        <w:jc w:val="both"/>
        <w:rPr>
          <w:rFonts w:ascii="Times New Roman" w:hAnsi="Times New Roman" w:cs="Times New Roman"/>
          <w:sz w:val="20"/>
          <w:szCs w:val="20"/>
        </w:rPr>
      </w:pPr>
      <w:r w:rsidRPr="0085183C">
        <w:rPr>
          <w:rFonts w:ascii="Times New Roman" w:hAnsi="Times New Roman" w:cs="Times New Roman"/>
          <w:sz w:val="20"/>
          <w:szCs w:val="20"/>
        </w:rPr>
        <w:t xml:space="preserve">Future studies should consider cluster-randomized or crossover designs to strengthen causal inference, include multi-centre samples to enhance generalizability, and include longer follow-up to evaluate skill retention and workplace performance. </w:t>
      </w:r>
      <w:r w:rsidRPr="0085183C">
        <w:rPr>
          <w:rFonts w:ascii="Times New Roman" w:hAnsi="Times New Roman" w:cs="Times New Roman"/>
          <w:sz w:val="20"/>
          <w:szCs w:val="20"/>
        </w:rPr>
        <w:lastRenderedPageBreak/>
        <w:t>Research comparing combinations of near-peer plus periodic faculty mentoring (the “blended” model) versus either method alone may clarify optimal timing and balance between peer accessibility and faculty clinical expertise. Cost-effectiveness analyses would also be valuable for institutions considering scale-up.</w:t>
      </w:r>
    </w:p>
    <w:p w14:paraId="308BE053" w14:textId="77777777" w:rsidR="00594C37" w:rsidRDefault="00594C37" w:rsidP="00594C37">
      <w:pPr>
        <w:widowControl w:val="0"/>
        <w:autoSpaceDE w:val="0"/>
        <w:autoSpaceDN w:val="0"/>
        <w:adjustRightInd w:val="0"/>
        <w:spacing w:after="0" w:line="240" w:lineRule="auto"/>
        <w:jc w:val="both"/>
        <w:rPr>
          <w:rFonts w:ascii="Times New Roman" w:hAnsi="Times New Roman" w:cs="Times New Roman"/>
          <w:sz w:val="20"/>
          <w:szCs w:val="20"/>
        </w:rPr>
      </w:pPr>
    </w:p>
    <w:p w14:paraId="1753A9AB" w14:textId="54F405B5" w:rsidR="004F23D2" w:rsidRDefault="00000000" w:rsidP="00594C37">
      <w:pPr>
        <w:widowControl w:val="0"/>
        <w:autoSpaceDE w:val="0"/>
        <w:autoSpaceDN w:val="0"/>
        <w:adjustRightInd w:val="0"/>
        <w:spacing w:after="0" w:line="240" w:lineRule="auto"/>
        <w:jc w:val="both"/>
        <w:rPr>
          <w:rFonts w:ascii="Times New Roman" w:hAnsi="Times New Roman" w:cs="Times New Roman"/>
          <w:b/>
          <w:color w:val="000000"/>
          <w:kern w:val="24"/>
          <w:sz w:val="20"/>
          <w:szCs w:val="20"/>
          <w:u w:val="single"/>
        </w:rPr>
      </w:pPr>
      <w:r>
        <w:rPr>
          <w:rFonts w:ascii="Times New Roman" w:hAnsi="Times New Roman" w:cs="Times New Roman"/>
          <w:b/>
          <w:color w:val="000000"/>
          <w:kern w:val="24"/>
          <w:sz w:val="20"/>
          <w:szCs w:val="20"/>
        </w:rPr>
        <w:t>CONCLUSION</w:t>
      </w:r>
    </w:p>
    <w:p w14:paraId="295B6E56" w14:textId="5A767136" w:rsidR="004F23D2" w:rsidRDefault="00FE1E33" w:rsidP="00B107F9">
      <w:pPr>
        <w:widowControl w:val="0"/>
        <w:autoSpaceDE w:val="0"/>
        <w:autoSpaceDN w:val="0"/>
        <w:adjustRightInd w:val="0"/>
        <w:spacing w:after="0" w:line="240" w:lineRule="auto"/>
        <w:jc w:val="both"/>
        <w:rPr>
          <w:rFonts w:ascii="Times New Roman" w:hAnsi="Times New Roman" w:cs="Times New Roman"/>
          <w:color w:val="000000"/>
          <w:kern w:val="24"/>
          <w:sz w:val="20"/>
          <w:szCs w:val="20"/>
        </w:rPr>
      </w:pPr>
      <w:r w:rsidRPr="0085183C">
        <w:rPr>
          <w:rFonts w:ascii="Times New Roman" w:hAnsi="Times New Roman" w:cs="Times New Roman"/>
          <w:sz w:val="20"/>
          <w:szCs w:val="20"/>
        </w:rPr>
        <w:t>A structured near-peer teaching programme produced greater short-term improvements in OSCE performance, larger gains in knowledge scores, and higher student satisfaction than matched faculty-led teaching in this cohort of MBBS third-year students, while both methods improved learner confidence. These results add to a growing evidence base supporting near-peer approaches as an effective, acceptable, and scalable adjunct to conventional faculty teaching in undergraduate medical education</w:t>
      </w:r>
      <w:r w:rsidR="00000000">
        <w:rPr>
          <w:rFonts w:ascii="Times New Roman" w:hAnsi="Times New Roman" w:cs="Times New Roman"/>
          <w:color w:val="000000"/>
          <w:kern w:val="24"/>
          <w:sz w:val="20"/>
          <w:szCs w:val="20"/>
        </w:rPr>
        <w:t>.</w:t>
      </w:r>
    </w:p>
    <w:p w14:paraId="33A4AA8A" w14:textId="77777777" w:rsidR="004F23D2" w:rsidRDefault="004F23D2">
      <w:pPr>
        <w:widowControl w:val="0"/>
        <w:autoSpaceDE w:val="0"/>
        <w:autoSpaceDN w:val="0"/>
        <w:adjustRightInd w:val="0"/>
        <w:spacing w:after="0" w:line="240" w:lineRule="auto"/>
        <w:jc w:val="both"/>
        <w:rPr>
          <w:rFonts w:ascii="Times New Roman" w:hAnsi="Times New Roman" w:cs="Times New Roman"/>
          <w:color w:val="000000"/>
          <w:kern w:val="24"/>
          <w:sz w:val="20"/>
          <w:szCs w:val="20"/>
        </w:rPr>
      </w:pPr>
    </w:p>
    <w:p w14:paraId="4F2F4D0B" w14:textId="77777777" w:rsidR="004F23D2" w:rsidRDefault="00000000" w:rsidP="003E14EC">
      <w:pPr>
        <w:widowControl w:val="0"/>
        <w:autoSpaceDE w:val="0"/>
        <w:autoSpaceDN w:val="0"/>
        <w:adjustRightInd w:val="0"/>
        <w:spacing w:after="0" w:line="240" w:lineRule="auto"/>
        <w:rPr>
          <w:rFonts w:ascii="Times New Roman" w:hAnsi="Times New Roman" w:cs="Times New Roman"/>
          <w:b/>
          <w:color w:val="000000"/>
          <w:kern w:val="24"/>
          <w:sz w:val="20"/>
          <w:szCs w:val="20"/>
        </w:rPr>
      </w:pPr>
      <w:r>
        <w:rPr>
          <w:rFonts w:ascii="Times New Roman" w:hAnsi="Times New Roman" w:cs="Times New Roman"/>
          <w:b/>
          <w:sz w:val="20"/>
          <w:szCs w:val="20"/>
        </w:rPr>
        <w:t>REFERE</w:t>
      </w:r>
      <w:r>
        <w:rPr>
          <w:rFonts w:ascii="Times New Roman" w:hAnsi="Times New Roman" w:cs="Times New Roman"/>
          <w:b/>
          <w:color w:val="000000"/>
          <w:kern w:val="24"/>
          <w:sz w:val="20"/>
          <w:szCs w:val="20"/>
        </w:rPr>
        <w:t>NCES</w:t>
      </w:r>
    </w:p>
    <w:p w14:paraId="1BC7A441" w14:textId="77777777" w:rsidR="00D356DE" w:rsidRPr="0085183C" w:rsidRDefault="00D356DE" w:rsidP="00D356DE">
      <w:pPr>
        <w:pStyle w:val="ListParagraph"/>
        <w:numPr>
          <w:ilvl w:val="0"/>
          <w:numId w:val="12"/>
        </w:numPr>
        <w:spacing w:after="0" w:line="240" w:lineRule="auto"/>
        <w:jc w:val="both"/>
        <w:rPr>
          <w:rFonts w:ascii="Times New Roman" w:hAnsi="Times New Roman" w:cs="Times New Roman"/>
          <w:color w:val="1B1B1B"/>
          <w:sz w:val="20"/>
          <w:szCs w:val="20"/>
          <w:shd w:val="clear" w:color="auto" w:fill="FFFFFF"/>
        </w:rPr>
      </w:pPr>
      <w:r w:rsidRPr="0085183C">
        <w:rPr>
          <w:rFonts w:ascii="Times New Roman" w:hAnsi="Times New Roman" w:cs="Times New Roman"/>
          <w:color w:val="1B1B1B"/>
          <w:sz w:val="20"/>
          <w:szCs w:val="20"/>
          <w:shd w:val="clear" w:color="auto" w:fill="FFFFFF"/>
        </w:rPr>
        <w:t>Ghimire S, Lahera S. Third Year MBBS - Gateway to Clinical Skills Learning. </w:t>
      </w:r>
      <w:r w:rsidRPr="0085183C">
        <w:rPr>
          <w:rFonts w:ascii="Times New Roman" w:hAnsi="Times New Roman" w:cs="Times New Roman"/>
          <w:i/>
          <w:iCs/>
          <w:color w:val="1B1B1B"/>
          <w:sz w:val="20"/>
          <w:szCs w:val="20"/>
          <w:shd w:val="clear" w:color="auto" w:fill="FFFFFF"/>
        </w:rPr>
        <w:t>JNMA J Nepal Med Assoc</w:t>
      </w:r>
      <w:r w:rsidRPr="0085183C">
        <w:rPr>
          <w:rFonts w:ascii="Times New Roman" w:hAnsi="Times New Roman" w:cs="Times New Roman"/>
          <w:color w:val="1B1B1B"/>
          <w:sz w:val="20"/>
          <w:szCs w:val="20"/>
          <w:shd w:val="clear" w:color="auto" w:fill="FFFFFF"/>
        </w:rPr>
        <w:t>. 2023;61(267):904-906.</w:t>
      </w:r>
    </w:p>
    <w:p w14:paraId="54F51CC4" w14:textId="77777777" w:rsidR="00D356DE" w:rsidRPr="0085183C" w:rsidRDefault="00D356DE" w:rsidP="00D356DE">
      <w:pPr>
        <w:pStyle w:val="ListParagraph"/>
        <w:numPr>
          <w:ilvl w:val="0"/>
          <w:numId w:val="12"/>
        </w:numPr>
        <w:spacing w:after="0" w:line="240" w:lineRule="auto"/>
        <w:jc w:val="both"/>
        <w:rPr>
          <w:rFonts w:ascii="Times New Roman" w:hAnsi="Times New Roman" w:cs="Times New Roman"/>
          <w:color w:val="1B1B1B"/>
          <w:sz w:val="20"/>
          <w:szCs w:val="20"/>
          <w:shd w:val="clear" w:color="auto" w:fill="FFFFFF"/>
        </w:rPr>
      </w:pPr>
      <w:r w:rsidRPr="0085183C">
        <w:rPr>
          <w:rFonts w:ascii="Times New Roman" w:hAnsi="Times New Roman" w:cs="Times New Roman"/>
          <w:color w:val="1B1B1B"/>
          <w:sz w:val="20"/>
          <w:szCs w:val="20"/>
          <w:shd w:val="clear" w:color="auto" w:fill="FFFFFF"/>
        </w:rPr>
        <w:t xml:space="preserve">De Menezes S, Premnath D. Near-peer education: a novel teaching program. International Journal of Medical Education. </w:t>
      </w:r>
      <w:proofErr w:type="gramStart"/>
      <w:r w:rsidRPr="0085183C">
        <w:rPr>
          <w:rFonts w:ascii="Times New Roman" w:hAnsi="Times New Roman" w:cs="Times New Roman"/>
          <w:color w:val="1B1B1B"/>
          <w:sz w:val="20"/>
          <w:szCs w:val="20"/>
          <w:shd w:val="clear" w:color="auto" w:fill="FFFFFF"/>
        </w:rPr>
        <w:t>2016;7:160</w:t>
      </w:r>
      <w:proofErr w:type="gramEnd"/>
      <w:r w:rsidRPr="0085183C">
        <w:rPr>
          <w:rFonts w:ascii="Times New Roman" w:hAnsi="Times New Roman" w:cs="Times New Roman"/>
          <w:color w:val="1B1B1B"/>
          <w:sz w:val="20"/>
          <w:szCs w:val="20"/>
          <w:shd w:val="clear" w:color="auto" w:fill="FFFFFF"/>
        </w:rPr>
        <w:t>-167.</w:t>
      </w:r>
    </w:p>
    <w:p w14:paraId="5A5D6C29" w14:textId="77777777" w:rsidR="00D356DE" w:rsidRPr="0085183C" w:rsidRDefault="00D356DE" w:rsidP="00D356DE">
      <w:pPr>
        <w:pStyle w:val="ListParagraph"/>
        <w:numPr>
          <w:ilvl w:val="0"/>
          <w:numId w:val="12"/>
        </w:numPr>
        <w:spacing w:after="0" w:line="240" w:lineRule="auto"/>
        <w:jc w:val="both"/>
        <w:rPr>
          <w:rFonts w:ascii="Times New Roman" w:hAnsi="Times New Roman" w:cs="Times New Roman"/>
          <w:color w:val="1B1B1B"/>
          <w:sz w:val="20"/>
          <w:szCs w:val="20"/>
          <w:shd w:val="clear" w:color="auto" w:fill="FFFFFF"/>
        </w:rPr>
      </w:pPr>
      <w:r w:rsidRPr="0085183C">
        <w:rPr>
          <w:rFonts w:ascii="Times New Roman" w:hAnsi="Times New Roman" w:cs="Times New Roman"/>
          <w:color w:val="1B1B1B"/>
          <w:sz w:val="20"/>
          <w:szCs w:val="20"/>
          <w:shd w:val="clear" w:color="auto" w:fill="FFFFFF"/>
        </w:rPr>
        <w:t xml:space="preserve">Zhang Y, Maconochie M. A meta-analysis of peer-assisted learning on examination performance in clinical knowledge and skills education. BMC Medical Education. 2022;22(1):147. </w:t>
      </w:r>
    </w:p>
    <w:p w14:paraId="4D0B3C62" w14:textId="77777777" w:rsidR="00D356DE" w:rsidRPr="0085183C" w:rsidRDefault="00D356DE" w:rsidP="00D356DE">
      <w:pPr>
        <w:pStyle w:val="ListParagraph"/>
        <w:numPr>
          <w:ilvl w:val="0"/>
          <w:numId w:val="12"/>
        </w:numPr>
        <w:spacing w:after="0" w:line="240" w:lineRule="auto"/>
        <w:jc w:val="both"/>
        <w:rPr>
          <w:rFonts w:ascii="Times New Roman" w:hAnsi="Times New Roman" w:cs="Times New Roman"/>
          <w:color w:val="1B1B1B"/>
          <w:sz w:val="20"/>
          <w:szCs w:val="20"/>
          <w:shd w:val="clear" w:color="auto" w:fill="FFFFFF"/>
        </w:rPr>
      </w:pPr>
      <w:r w:rsidRPr="0085183C">
        <w:rPr>
          <w:rFonts w:ascii="Times New Roman" w:hAnsi="Times New Roman" w:cs="Times New Roman"/>
          <w:color w:val="1B1B1B"/>
          <w:sz w:val="20"/>
          <w:szCs w:val="20"/>
          <w:shd w:val="clear" w:color="auto" w:fill="FFFFFF"/>
        </w:rPr>
        <w:t xml:space="preserve">Sumathy MK, </w:t>
      </w:r>
      <w:proofErr w:type="spellStart"/>
      <w:r w:rsidRPr="0085183C">
        <w:rPr>
          <w:rFonts w:ascii="Times New Roman" w:hAnsi="Times New Roman" w:cs="Times New Roman"/>
          <w:color w:val="1B1B1B"/>
          <w:sz w:val="20"/>
          <w:szCs w:val="20"/>
          <w:shd w:val="clear" w:color="auto" w:fill="FFFFFF"/>
        </w:rPr>
        <w:t>Zayapragassarazan</w:t>
      </w:r>
      <w:proofErr w:type="spellEnd"/>
      <w:r w:rsidRPr="0085183C">
        <w:rPr>
          <w:rFonts w:ascii="Times New Roman" w:hAnsi="Times New Roman" w:cs="Times New Roman"/>
          <w:color w:val="1B1B1B"/>
          <w:sz w:val="20"/>
          <w:szCs w:val="20"/>
          <w:shd w:val="clear" w:color="auto" w:fill="FFFFFF"/>
        </w:rPr>
        <w:t xml:space="preserve"> Z, Pai DR, Wyawahare M. Core Procedural Skills to be Taught for III-Year Undergraduate Medical Students: A Modified Delphi Study. </w:t>
      </w:r>
      <w:r w:rsidRPr="0085183C">
        <w:rPr>
          <w:rFonts w:ascii="Times New Roman" w:hAnsi="Times New Roman" w:cs="Times New Roman"/>
          <w:i/>
          <w:iCs/>
          <w:color w:val="1B1B1B"/>
          <w:sz w:val="20"/>
          <w:szCs w:val="20"/>
          <w:shd w:val="clear" w:color="auto" w:fill="FFFFFF"/>
        </w:rPr>
        <w:t xml:space="preserve">J Adv Med </w:t>
      </w:r>
      <w:proofErr w:type="spellStart"/>
      <w:r w:rsidRPr="0085183C">
        <w:rPr>
          <w:rFonts w:ascii="Times New Roman" w:hAnsi="Times New Roman" w:cs="Times New Roman"/>
          <w:i/>
          <w:iCs/>
          <w:color w:val="1B1B1B"/>
          <w:sz w:val="20"/>
          <w:szCs w:val="20"/>
          <w:shd w:val="clear" w:color="auto" w:fill="FFFFFF"/>
        </w:rPr>
        <w:t>Educ</w:t>
      </w:r>
      <w:proofErr w:type="spellEnd"/>
      <w:r w:rsidRPr="0085183C">
        <w:rPr>
          <w:rFonts w:ascii="Times New Roman" w:hAnsi="Times New Roman" w:cs="Times New Roman"/>
          <w:i/>
          <w:iCs/>
          <w:color w:val="1B1B1B"/>
          <w:sz w:val="20"/>
          <w:szCs w:val="20"/>
          <w:shd w:val="clear" w:color="auto" w:fill="FFFFFF"/>
        </w:rPr>
        <w:t xml:space="preserve"> Prof</w:t>
      </w:r>
      <w:r w:rsidRPr="0085183C">
        <w:rPr>
          <w:rFonts w:ascii="Times New Roman" w:hAnsi="Times New Roman" w:cs="Times New Roman"/>
          <w:color w:val="1B1B1B"/>
          <w:sz w:val="20"/>
          <w:szCs w:val="20"/>
          <w:shd w:val="clear" w:color="auto" w:fill="FFFFFF"/>
        </w:rPr>
        <w:t xml:space="preserve">. 2024;12(2):88-94. </w:t>
      </w:r>
    </w:p>
    <w:p w14:paraId="43184D20" w14:textId="77777777" w:rsidR="00D356DE" w:rsidRPr="0085183C" w:rsidRDefault="00D356DE" w:rsidP="00D356DE">
      <w:pPr>
        <w:pStyle w:val="ListParagraph"/>
        <w:numPr>
          <w:ilvl w:val="0"/>
          <w:numId w:val="12"/>
        </w:numPr>
        <w:spacing w:after="0" w:line="240" w:lineRule="auto"/>
        <w:jc w:val="both"/>
        <w:rPr>
          <w:rFonts w:ascii="Times New Roman" w:hAnsi="Times New Roman" w:cs="Times New Roman"/>
          <w:color w:val="1B1B1B"/>
          <w:sz w:val="20"/>
          <w:szCs w:val="20"/>
          <w:shd w:val="clear" w:color="auto" w:fill="FFFFFF"/>
        </w:rPr>
      </w:pPr>
      <w:r w:rsidRPr="0085183C">
        <w:rPr>
          <w:rFonts w:ascii="Times New Roman" w:hAnsi="Times New Roman" w:cs="Times New Roman"/>
          <w:color w:val="1B1B1B"/>
          <w:sz w:val="20"/>
          <w:szCs w:val="20"/>
          <w:shd w:val="clear" w:color="auto" w:fill="FFFFFF"/>
        </w:rPr>
        <w:t xml:space="preserve">Green P, Edwards EJ, Tower M. Core procedural skills competencies and the maintenance of procedural skills for medical students: a Delphi study. BMC Med Educ. 2022 Apr 9;22(1):259. </w:t>
      </w:r>
    </w:p>
    <w:p w14:paraId="16539015" w14:textId="77777777" w:rsidR="00D356DE" w:rsidRPr="0085183C" w:rsidRDefault="00D356DE" w:rsidP="00D356DE">
      <w:pPr>
        <w:pStyle w:val="ListParagraph"/>
        <w:numPr>
          <w:ilvl w:val="0"/>
          <w:numId w:val="12"/>
        </w:numPr>
        <w:spacing w:after="0" w:line="240" w:lineRule="auto"/>
        <w:jc w:val="both"/>
        <w:rPr>
          <w:rFonts w:ascii="Times New Roman" w:hAnsi="Times New Roman" w:cs="Times New Roman"/>
          <w:color w:val="1B1B1B"/>
          <w:sz w:val="20"/>
          <w:szCs w:val="20"/>
          <w:shd w:val="clear" w:color="auto" w:fill="FFFFFF"/>
        </w:rPr>
      </w:pPr>
      <w:r w:rsidRPr="0085183C">
        <w:rPr>
          <w:rFonts w:ascii="Times New Roman" w:hAnsi="Times New Roman" w:cs="Times New Roman"/>
          <w:color w:val="1B1B1B"/>
          <w:sz w:val="20"/>
          <w:szCs w:val="20"/>
          <w:shd w:val="clear" w:color="auto" w:fill="FFFFFF"/>
        </w:rPr>
        <w:t>Medical Council of India, Supe A, Seshadri KG, et al. Skills Training Module for Undergraduate Medical Education Program, 2019.; 2019.</w:t>
      </w:r>
    </w:p>
    <w:p w14:paraId="1ECB25BC" w14:textId="77777777" w:rsidR="00D356DE" w:rsidRPr="0085183C" w:rsidRDefault="00D356DE" w:rsidP="00D356DE">
      <w:pPr>
        <w:pStyle w:val="ListParagraph"/>
        <w:numPr>
          <w:ilvl w:val="0"/>
          <w:numId w:val="12"/>
        </w:numPr>
        <w:spacing w:after="0" w:line="240" w:lineRule="auto"/>
        <w:jc w:val="both"/>
        <w:rPr>
          <w:rFonts w:ascii="Times New Roman" w:hAnsi="Times New Roman" w:cs="Times New Roman"/>
          <w:color w:val="1B1B1B"/>
          <w:sz w:val="20"/>
          <w:szCs w:val="20"/>
          <w:shd w:val="clear" w:color="auto" w:fill="FFFFFF"/>
        </w:rPr>
      </w:pPr>
      <w:r w:rsidRPr="0085183C">
        <w:rPr>
          <w:rFonts w:ascii="Times New Roman" w:hAnsi="Times New Roman" w:cs="Times New Roman"/>
          <w:color w:val="1B1B1B"/>
          <w:sz w:val="20"/>
          <w:szCs w:val="20"/>
          <w:shd w:val="clear" w:color="auto" w:fill="FFFFFF"/>
        </w:rPr>
        <w:t xml:space="preserve">Rashid MS, </w:t>
      </w:r>
      <w:proofErr w:type="spellStart"/>
      <w:r w:rsidRPr="0085183C">
        <w:rPr>
          <w:rFonts w:ascii="Times New Roman" w:hAnsi="Times New Roman" w:cs="Times New Roman"/>
          <w:color w:val="1B1B1B"/>
          <w:sz w:val="20"/>
          <w:szCs w:val="20"/>
          <w:shd w:val="clear" w:color="auto" w:fill="FFFFFF"/>
        </w:rPr>
        <w:t>Sobowale</w:t>
      </w:r>
      <w:proofErr w:type="spellEnd"/>
      <w:r w:rsidRPr="0085183C">
        <w:rPr>
          <w:rFonts w:ascii="Times New Roman" w:hAnsi="Times New Roman" w:cs="Times New Roman"/>
          <w:color w:val="1B1B1B"/>
          <w:sz w:val="20"/>
          <w:szCs w:val="20"/>
          <w:shd w:val="clear" w:color="auto" w:fill="FFFFFF"/>
        </w:rPr>
        <w:t xml:space="preserve"> O, Gore D. A near-peer teaching program designed, developed and delivered exclusively by recent medical graduates for final year medical students sitting the final objective structured clinical examination (OSCE). BMC Medical Education. 2011;11(1):11. </w:t>
      </w:r>
    </w:p>
    <w:p w14:paraId="7273684C" w14:textId="77777777" w:rsidR="00D356DE" w:rsidRPr="0085183C" w:rsidRDefault="00D356DE" w:rsidP="00D356DE">
      <w:pPr>
        <w:pStyle w:val="ListParagraph"/>
        <w:numPr>
          <w:ilvl w:val="0"/>
          <w:numId w:val="12"/>
        </w:numPr>
        <w:spacing w:after="0" w:line="240" w:lineRule="auto"/>
        <w:jc w:val="both"/>
        <w:rPr>
          <w:rFonts w:ascii="Times New Roman" w:hAnsi="Times New Roman" w:cs="Times New Roman"/>
          <w:color w:val="1B1B1B"/>
          <w:sz w:val="20"/>
          <w:szCs w:val="20"/>
          <w:shd w:val="clear" w:color="auto" w:fill="FFFFFF"/>
        </w:rPr>
      </w:pPr>
      <w:r w:rsidRPr="0085183C">
        <w:rPr>
          <w:rFonts w:ascii="Times New Roman" w:hAnsi="Times New Roman" w:cs="Times New Roman"/>
          <w:color w:val="1B1B1B"/>
          <w:sz w:val="20"/>
          <w:szCs w:val="20"/>
          <w:shd w:val="clear" w:color="auto" w:fill="FFFFFF"/>
        </w:rPr>
        <w:t>Rong K, Lee G, Herbst MK. Effectiveness of Near-Peer Versus Faculty Point-of-Care Ultrasound Instruction to Third-Year Medical Students. POCUS J. 2022 Nov 21;7(2):239-244.</w:t>
      </w:r>
    </w:p>
    <w:p w14:paraId="507524FE" w14:textId="77777777" w:rsidR="00D356DE" w:rsidRPr="0085183C" w:rsidRDefault="00D356DE" w:rsidP="00D356DE">
      <w:pPr>
        <w:pStyle w:val="ListParagraph"/>
        <w:numPr>
          <w:ilvl w:val="0"/>
          <w:numId w:val="12"/>
        </w:numPr>
        <w:spacing w:after="0" w:line="240" w:lineRule="auto"/>
        <w:jc w:val="both"/>
        <w:rPr>
          <w:rFonts w:ascii="Times New Roman" w:hAnsi="Times New Roman" w:cs="Times New Roman"/>
          <w:color w:val="1B1B1B"/>
          <w:sz w:val="20"/>
          <w:szCs w:val="20"/>
          <w:shd w:val="clear" w:color="auto" w:fill="FFFFFF"/>
        </w:rPr>
      </w:pPr>
      <w:r w:rsidRPr="0085183C">
        <w:rPr>
          <w:rFonts w:ascii="Times New Roman" w:hAnsi="Times New Roman" w:cs="Times New Roman"/>
          <w:color w:val="1B1B1B"/>
          <w:sz w:val="20"/>
          <w:szCs w:val="20"/>
          <w:shd w:val="clear" w:color="auto" w:fill="FFFFFF"/>
        </w:rPr>
        <w:t>Brierley C, Ellis L, Reid ER. Peer‐assisted learning in medical education: A systematic review and meta‐analysis. Medical Education. 2021;56(4):365-373.</w:t>
      </w:r>
    </w:p>
    <w:p w14:paraId="39190801" w14:textId="77777777" w:rsidR="00D356DE" w:rsidRPr="0085183C" w:rsidRDefault="00D356DE" w:rsidP="00D356DE">
      <w:pPr>
        <w:pStyle w:val="ListParagraph"/>
        <w:numPr>
          <w:ilvl w:val="0"/>
          <w:numId w:val="12"/>
        </w:numPr>
        <w:spacing w:after="0" w:line="240" w:lineRule="auto"/>
        <w:jc w:val="both"/>
        <w:rPr>
          <w:rFonts w:ascii="Times New Roman" w:hAnsi="Times New Roman" w:cs="Times New Roman"/>
          <w:color w:val="1B1B1B"/>
          <w:sz w:val="20"/>
          <w:szCs w:val="20"/>
          <w:shd w:val="clear" w:color="auto" w:fill="FFFFFF"/>
        </w:rPr>
      </w:pPr>
      <w:r w:rsidRPr="0085183C">
        <w:rPr>
          <w:rFonts w:ascii="Times New Roman" w:hAnsi="Times New Roman" w:cs="Times New Roman"/>
          <w:color w:val="1B1B1B"/>
          <w:sz w:val="20"/>
          <w:szCs w:val="20"/>
          <w:shd w:val="clear" w:color="auto" w:fill="FFFFFF"/>
        </w:rPr>
        <w:t xml:space="preserve">Braier-Lorimer DA, Warren-Miell H. A peer-led mock OSCE improves student confidence for summative OSCE assessments in a traditional medical course. Medical Teacher. 2021;44(5):535-540. </w:t>
      </w:r>
    </w:p>
    <w:p w14:paraId="0FEA4ED1" w14:textId="4407641A" w:rsidR="004F23D2" w:rsidRPr="0076477D" w:rsidRDefault="00D356DE" w:rsidP="00D356DE">
      <w:pPr>
        <w:pStyle w:val="ListParagraph"/>
        <w:numPr>
          <w:ilvl w:val="0"/>
          <w:numId w:val="12"/>
        </w:numPr>
        <w:shd w:val="clear" w:color="auto" w:fill="FFFFFF"/>
        <w:spacing w:before="15" w:after="0" w:line="240" w:lineRule="auto"/>
        <w:jc w:val="both"/>
        <w:rPr>
          <w:rFonts w:ascii="Times New Roman" w:hAnsi="Times New Roman" w:cs="Times New Roman"/>
          <w:sz w:val="20"/>
          <w:szCs w:val="20"/>
        </w:rPr>
      </w:pPr>
      <w:r w:rsidRPr="0085183C">
        <w:rPr>
          <w:rFonts w:ascii="Times New Roman" w:hAnsi="Times New Roman" w:cs="Times New Roman"/>
          <w:color w:val="1B1B1B"/>
          <w:sz w:val="20"/>
          <w:szCs w:val="20"/>
          <w:shd w:val="clear" w:color="auto" w:fill="FFFFFF"/>
        </w:rPr>
        <w:t>Sethi S, Dabas R, Garg R. Near-peer-assisted learning for training undergraduate medical students in clinical ophthalmology skills. Journal of Taibah University Medical Sciences. 2021;17(1):105-111</w:t>
      </w:r>
      <w:r w:rsidR="00D15736" w:rsidRPr="0076477D">
        <w:rPr>
          <w:rFonts w:ascii="Times New Roman" w:hAnsi="Times New Roman" w:cs="Times New Roman"/>
          <w:sz w:val="20"/>
          <w:szCs w:val="20"/>
        </w:rPr>
        <w:t>.</w:t>
      </w:r>
    </w:p>
    <w:sectPr w:rsidR="004F23D2" w:rsidRPr="0076477D" w:rsidSect="004E1B1D">
      <w:footerReference w:type="default" r:id="rId10"/>
      <w:pgSz w:w="11906" w:h="16838" w:code="9"/>
      <w:pgMar w:top="1282" w:right="1080" w:bottom="1440" w:left="1080" w:header="708" w:footer="557" w:gutter="0"/>
      <w:pgNumType w:start="247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44E53" w14:textId="77777777" w:rsidR="0008480B" w:rsidRDefault="0008480B">
      <w:pPr>
        <w:spacing w:after="0" w:line="240" w:lineRule="auto"/>
      </w:pPr>
      <w:r>
        <w:separator/>
      </w:r>
    </w:p>
  </w:endnote>
  <w:endnote w:type="continuationSeparator" w:id="0">
    <w:p w14:paraId="2202C0E2" w14:textId="77777777" w:rsidR="0008480B" w:rsidRDefault="00084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top w:w="72" w:type="dxa"/>
        <w:left w:w="115" w:type="dxa"/>
        <w:bottom w:w="72" w:type="dxa"/>
        <w:right w:w="115" w:type="dxa"/>
      </w:tblCellMar>
      <w:tblLook w:val="04A0" w:firstRow="1" w:lastRow="0" w:firstColumn="1" w:lastColumn="0" w:noHBand="0" w:noVBand="1"/>
    </w:tblPr>
    <w:tblGrid>
      <w:gridCol w:w="8771"/>
      <w:gridCol w:w="975"/>
    </w:tblGrid>
    <w:tr w:rsidR="004F23D2" w14:paraId="7C8A995A" w14:textId="77777777">
      <w:tc>
        <w:tcPr>
          <w:tcW w:w="4500" w:type="pct"/>
          <w:tcBorders>
            <w:top w:val="single" w:sz="4" w:space="0" w:color="000000"/>
          </w:tcBorders>
        </w:tcPr>
        <w:p w14:paraId="08EE2C85" w14:textId="74620258" w:rsidR="004F23D2" w:rsidRDefault="004E1B1D">
          <w:pPr>
            <w:tabs>
              <w:tab w:val="center" w:pos="4513"/>
              <w:tab w:val="right" w:pos="9026"/>
            </w:tabs>
            <w:spacing w:after="0" w:line="240" w:lineRule="auto"/>
            <w:rPr>
              <w:rFonts w:cs="Vrinda"/>
              <w:i/>
              <w:iCs/>
              <w:sz w:val="18"/>
              <w:szCs w:val="18"/>
            </w:rPr>
          </w:pPr>
          <w:r w:rsidRPr="004E1B1D">
            <w:rPr>
              <w:rFonts w:cs="Vrinda"/>
              <w:b/>
              <w:bCs/>
              <w:color w:val="17365D"/>
              <w:sz w:val="18"/>
              <w:szCs w:val="18"/>
            </w:rPr>
            <w:t>Dr. Priyanka Chahal</w:t>
          </w:r>
          <w:r>
            <w:rPr>
              <w:rFonts w:cs="Vrinda"/>
              <w:b/>
              <w:bCs/>
              <w:color w:val="17365D"/>
              <w:sz w:val="18"/>
              <w:szCs w:val="18"/>
            </w:rPr>
            <w:t xml:space="preserve"> </w:t>
          </w:r>
          <w:r w:rsidR="00000000">
            <w:rPr>
              <w:rFonts w:cs="Vrinda"/>
              <w:i/>
              <w:iCs/>
              <w:sz w:val="18"/>
              <w:szCs w:val="18"/>
            </w:rPr>
            <w:t>et al</w:t>
          </w:r>
          <w:r w:rsidR="00517A87">
            <w:t xml:space="preserve"> </w:t>
          </w:r>
          <w:r w:rsidRPr="004E1B1D">
            <w:rPr>
              <w:rFonts w:cs="Vrinda"/>
              <w:i/>
              <w:iCs/>
              <w:sz w:val="18"/>
              <w:szCs w:val="18"/>
            </w:rPr>
            <w:t>Effect of a Structured Near-Peer Teaching Program on Clinical Skills Performance and Confidence Among MBBS Third-Year Students: A Comparative study</w:t>
          </w:r>
          <w:r w:rsidR="00000000">
            <w:rPr>
              <w:rFonts w:cs="Vrinda"/>
              <w:i/>
              <w:iCs/>
              <w:sz w:val="18"/>
              <w:szCs w:val="18"/>
            </w:rPr>
            <w:t xml:space="preserve">. J Med. Pharm. Res., 7 (1): </w:t>
          </w:r>
          <w:r>
            <w:rPr>
              <w:rFonts w:cs="Vrinda"/>
              <w:i/>
              <w:iCs/>
              <w:sz w:val="18"/>
              <w:szCs w:val="18"/>
            </w:rPr>
            <w:t>2471</w:t>
          </w:r>
          <w:r w:rsidR="00000000">
            <w:rPr>
              <w:rFonts w:cs="Vrinda"/>
              <w:i/>
              <w:iCs/>
              <w:sz w:val="18"/>
              <w:szCs w:val="18"/>
            </w:rPr>
            <w:t>‐</w:t>
          </w:r>
          <w:r w:rsidR="00277D92">
            <w:rPr>
              <w:rFonts w:cs="Vrinda"/>
              <w:i/>
              <w:iCs/>
              <w:sz w:val="18"/>
              <w:szCs w:val="18"/>
            </w:rPr>
            <w:t>24</w:t>
          </w:r>
          <w:r w:rsidR="000B2DC2">
            <w:rPr>
              <w:rFonts w:cs="Vrinda"/>
              <w:i/>
              <w:iCs/>
              <w:sz w:val="18"/>
              <w:szCs w:val="18"/>
            </w:rPr>
            <w:t>7</w:t>
          </w:r>
          <w:r>
            <w:rPr>
              <w:rFonts w:cs="Vrinda"/>
              <w:i/>
              <w:iCs/>
              <w:sz w:val="18"/>
              <w:szCs w:val="18"/>
            </w:rPr>
            <w:t>6</w:t>
          </w:r>
          <w:r w:rsidR="00000000">
            <w:rPr>
              <w:rFonts w:cs="Vrinda"/>
              <w:i/>
              <w:iCs/>
              <w:sz w:val="18"/>
              <w:szCs w:val="18"/>
            </w:rPr>
            <w:t>, 2026</w:t>
          </w:r>
        </w:p>
      </w:tc>
      <w:tc>
        <w:tcPr>
          <w:tcW w:w="500" w:type="pct"/>
          <w:tcBorders>
            <w:top w:val="single" w:sz="4" w:space="0" w:color="auto"/>
          </w:tcBorders>
        </w:tcPr>
        <w:p w14:paraId="342EA55C" w14:textId="77777777" w:rsidR="004F23D2" w:rsidRDefault="00000000">
          <w:pPr>
            <w:tabs>
              <w:tab w:val="center" w:pos="4513"/>
              <w:tab w:val="right" w:pos="9026"/>
            </w:tabs>
            <w:spacing w:after="0" w:line="240" w:lineRule="auto"/>
            <w:rPr>
              <w:rFonts w:cs="Vrinda"/>
              <w:b/>
              <w:bCs/>
            </w:rPr>
          </w:pPr>
          <w:r>
            <w:rPr>
              <w:rFonts w:cs="Vrinda"/>
              <w:b/>
              <w:bCs/>
            </w:rPr>
            <w:fldChar w:fldCharType="begin"/>
          </w:r>
          <w:r>
            <w:rPr>
              <w:rFonts w:cs="Vrinda"/>
              <w:b/>
              <w:bCs/>
            </w:rPr>
            <w:instrText xml:space="preserve"> PAGE   \* MERGEFORMAT </w:instrText>
          </w:r>
          <w:r>
            <w:rPr>
              <w:rFonts w:cs="Vrinda"/>
              <w:b/>
              <w:bCs/>
            </w:rPr>
            <w:fldChar w:fldCharType="separate"/>
          </w:r>
          <w:r>
            <w:rPr>
              <w:rFonts w:cs="Vrinda"/>
              <w:b/>
              <w:bCs/>
              <w:noProof/>
            </w:rPr>
            <w:t>1</w:t>
          </w:r>
          <w:r>
            <w:rPr>
              <w:rFonts w:cs="Vrinda"/>
              <w:b/>
              <w:bCs/>
            </w:rPr>
            <w:fldChar w:fldCharType="end"/>
          </w:r>
        </w:p>
      </w:tc>
    </w:tr>
  </w:tbl>
  <w:p w14:paraId="6C2A1737" w14:textId="77777777" w:rsidR="004F23D2" w:rsidRDefault="004F2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E321B" w14:textId="77777777" w:rsidR="0008480B" w:rsidRDefault="0008480B">
      <w:pPr>
        <w:spacing w:after="0" w:line="240" w:lineRule="auto"/>
      </w:pPr>
      <w:r>
        <w:separator/>
      </w:r>
    </w:p>
  </w:footnote>
  <w:footnote w:type="continuationSeparator" w:id="0">
    <w:p w14:paraId="4A56A342" w14:textId="77777777" w:rsidR="0008480B" w:rsidRDefault="00084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57D503"/>
    <w:multiLevelType w:val="singleLevel"/>
    <w:tmpl w:val="DA57D503"/>
    <w:lvl w:ilvl="0">
      <w:start w:val="1"/>
      <w:numFmt w:val="decimal"/>
      <w:lvlText w:val="%1."/>
      <w:lvlJc w:val="left"/>
      <w:pPr>
        <w:tabs>
          <w:tab w:val="left" w:pos="425"/>
        </w:tabs>
        <w:ind w:left="425" w:hanging="425"/>
      </w:pPr>
      <w:rPr>
        <w:rFonts w:hint="default"/>
      </w:rPr>
    </w:lvl>
  </w:abstractNum>
  <w:abstractNum w:abstractNumId="1" w15:restartNumberingAfterBreak="0">
    <w:nsid w:val="00000001"/>
    <w:multiLevelType w:val="hybridMultilevel"/>
    <w:tmpl w:val="4686169E"/>
    <w:lvl w:ilvl="0" w:tplc="6180F57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02"/>
    <w:multiLevelType w:val="hybridMultilevel"/>
    <w:tmpl w:val="8430C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multilevel"/>
    <w:tmpl w:val="06A0A19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multilevel"/>
    <w:tmpl w:val="733409A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5"/>
    <w:multiLevelType w:val="hybridMultilevel"/>
    <w:tmpl w:val="8728B15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0000006"/>
    <w:multiLevelType w:val="multilevel"/>
    <w:tmpl w:val="BF72F6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7"/>
    <w:multiLevelType w:val="hybridMultilevel"/>
    <w:tmpl w:val="5ACA62F6"/>
    <w:lvl w:ilvl="0" w:tplc="40090001">
      <w:start w:val="1"/>
      <w:numFmt w:val="bullet"/>
      <w:lvlText w:val=""/>
      <w:lvlJc w:val="left"/>
      <w:pPr>
        <w:ind w:left="855" w:hanging="360"/>
      </w:pPr>
      <w:rPr>
        <w:rFonts w:ascii="Symbol" w:hAnsi="Symbol" w:hint="default"/>
      </w:rPr>
    </w:lvl>
    <w:lvl w:ilvl="1" w:tplc="40090003" w:tentative="1">
      <w:start w:val="1"/>
      <w:numFmt w:val="bullet"/>
      <w:lvlText w:val="o"/>
      <w:lvlJc w:val="left"/>
      <w:pPr>
        <w:ind w:left="1575" w:hanging="360"/>
      </w:pPr>
      <w:rPr>
        <w:rFonts w:ascii="Courier New" w:hAnsi="Courier New" w:hint="default"/>
      </w:rPr>
    </w:lvl>
    <w:lvl w:ilvl="2" w:tplc="40090005" w:tentative="1">
      <w:start w:val="1"/>
      <w:numFmt w:val="bullet"/>
      <w:lvlText w:val=""/>
      <w:lvlJc w:val="left"/>
      <w:pPr>
        <w:ind w:left="2295" w:hanging="360"/>
      </w:pPr>
      <w:rPr>
        <w:rFonts w:ascii="Wingdings" w:hAnsi="Wingdings" w:hint="default"/>
      </w:rPr>
    </w:lvl>
    <w:lvl w:ilvl="3" w:tplc="40090001" w:tentative="1">
      <w:start w:val="1"/>
      <w:numFmt w:val="bullet"/>
      <w:lvlText w:val=""/>
      <w:lvlJc w:val="left"/>
      <w:pPr>
        <w:ind w:left="3015" w:hanging="360"/>
      </w:pPr>
      <w:rPr>
        <w:rFonts w:ascii="Symbol" w:hAnsi="Symbol" w:hint="default"/>
      </w:rPr>
    </w:lvl>
    <w:lvl w:ilvl="4" w:tplc="40090003" w:tentative="1">
      <w:start w:val="1"/>
      <w:numFmt w:val="bullet"/>
      <w:lvlText w:val="o"/>
      <w:lvlJc w:val="left"/>
      <w:pPr>
        <w:ind w:left="3735" w:hanging="360"/>
      </w:pPr>
      <w:rPr>
        <w:rFonts w:ascii="Courier New" w:hAnsi="Courier New" w:hint="default"/>
      </w:rPr>
    </w:lvl>
    <w:lvl w:ilvl="5" w:tplc="40090005" w:tentative="1">
      <w:start w:val="1"/>
      <w:numFmt w:val="bullet"/>
      <w:lvlText w:val=""/>
      <w:lvlJc w:val="left"/>
      <w:pPr>
        <w:ind w:left="4455" w:hanging="360"/>
      </w:pPr>
      <w:rPr>
        <w:rFonts w:ascii="Wingdings" w:hAnsi="Wingdings" w:hint="default"/>
      </w:rPr>
    </w:lvl>
    <w:lvl w:ilvl="6" w:tplc="40090001" w:tentative="1">
      <w:start w:val="1"/>
      <w:numFmt w:val="bullet"/>
      <w:lvlText w:val=""/>
      <w:lvlJc w:val="left"/>
      <w:pPr>
        <w:ind w:left="5175" w:hanging="360"/>
      </w:pPr>
      <w:rPr>
        <w:rFonts w:ascii="Symbol" w:hAnsi="Symbol" w:hint="default"/>
      </w:rPr>
    </w:lvl>
    <w:lvl w:ilvl="7" w:tplc="40090003" w:tentative="1">
      <w:start w:val="1"/>
      <w:numFmt w:val="bullet"/>
      <w:lvlText w:val="o"/>
      <w:lvlJc w:val="left"/>
      <w:pPr>
        <w:ind w:left="5895" w:hanging="360"/>
      </w:pPr>
      <w:rPr>
        <w:rFonts w:ascii="Courier New" w:hAnsi="Courier New" w:hint="default"/>
      </w:rPr>
    </w:lvl>
    <w:lvl w:ilvl="8" w:tplc="40090005" w:tentative="1">
      <w:start w:val="1"/>
      <w:numFmt w:val="bullet"/>
      <w:lvlText w:val=""/>
      <w:lvlJc w:val="left"/>
      <w:pPr>
        <w:ind w:left="6615" w:hanging="360"/>
      </w:pPr>
      <w:rPr>
        <w:rFonts w:ascii="Wingdings" w:hAnsi="Wingdings" w:hint="default"/>
      </w:rPr>
    </w:lvl>
  </w:abstractNum>
  <w:abstractNum w:abstractNumId="8" w15:restartNumberingAfterBreak="0">
    <w:nsid w:val="00000008"/>
    <w:multiLevelType w:val="multilevel"/>
    <w:tmpl w:val="0E067E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9"/>
    <w:multiLevelType w:val="multilevel"/>
    <w:tmpl w:val="B1BAB5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A"/>
    <w:multiLevelType w:val="hybridMultilevel"/>
    <w:tmpl w:val="C77EA1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000000B"/>
    <w:multiLevelType w:val="singleLevel"/>
    <w:tmpl w:val="1F62441A"/>
    <w:lvl w:ilvl="0">
      <w:start w:val="1"/>
      <w:numFmt w:val="bullet"/>
      <w:lvlText w:val="*"/>
      <w:lvlJc w:val="left"/>
    </w:lvl>
  </w:abstractNum>
  <w:abstractNum w:abstractNumId="12" w15:restartNumberingAfterBreak="0">
    <w:nsid w:val="0000000C"/>
    <w:multiLevelType w:val="hybridMultilevel"/>
    <w:tmpl w:val="11962C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1108E2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A75022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0BA15AFB"/>
    <w:multiLevelType w:val="hybridMultilevel"/>
    <w:tmpl w:val="44D86000"/>
    <w:lvl w:ilvl="0" w:tplc="7B2CAD9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9F23C50"/>
    <w:multiLevelType w:val="hybridMultilevel"/>
    <w:tmpl w:val="1DB03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CF6A32"/>
    <w:multiLevelType w:val="hybridMultilevel"/>
    <w:tmpl w:val="8CCAA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390809"/>
    <w:multiLevelType w:val="hybridMultilevel"/>
    <w:tmpl w:val="BCE66AB8"/>
    <w:lvl w:ilvl="0" w:tplc="7B2CAD9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C630F03"/>
    <w:multiLevelType w:val="hybridMultilevel"/>
    <w:tmpl w:val="7AEE9EF6"/>
    <w:lvl w:ilvl="0" w:tplc="CAA83368">
      <w:start w:val="41"/>
      <w:numFmt w:val="bullet"/>
      <w:lvlText w:val=""/>
      <w:lvlJc w:val="left"/>
      <w:pPr>
        <w:ind w:left="706" w:hanging="360"/>
      </w:pPr>
      <w:rPr>
        <w:rFonts w:ascii="Symbol" w:eastAsia="Times New Roman" w:hAnsi="Symbol" w:cs="Times New Roman"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0" w15:restartNumberingAfterBreak="0">
    <w:nsid w:val="6319011E"/>
    <w:multiLevelType w:val="hybridMultilevel"/>
    <w:tmpl w:val="12580670"/>
    <w:lvl w:ilvl="0" w:tplc="7B2CAD9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52F7F4A"/>
    <w:multiLevelType w:val="hybridMultilevel"/>
    <w:tmpl w:val="0CF0D2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23071E5"/>
    <w:multiLevelType w:val="multilevel"/>
    <w:tmpl w:val="63B8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8B4AC0"/>
    <w:multiLevelType w:val="hybridMultilevel"/>
    <w:tmpl w:val="5D04C3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77778507">
    <w:abstractNumId w:val="11"/>
    <w:lvlOverride w:ilvl="0">
      <w:lvl w:ilvl="0">
        <w:start w:val="1"/>
        <w:numFmt w:val="bullet"/>
        <w:lvlText w:val=""/>
        <w:lvlJc w:val="left"/>
        <w:rPr>
          <w:rFonts w:ascii="Symbol" w:hAnsi="Symbol" w:hint="default"/>
        </w:rPr>
      </w:lvl>
    </w:lvlOverride>
  </w:num>
  <w:num w:numId="2" w16cid:durableId="312685763">
    <w:abstractNumId w:val="1"/>
  </w:num>
  <w:num w:numId="3" w16cid:durableId="1019359196">
    <w:abstractNumId w:val="2"/>
  </w:num>
  <w:num w:numId="4" w16cid:durableId="1659377653">
    <w:abstractNumId w:val="23"/>
  </w:num>
  <w:num w:numId="5" w16cid:durableId="1757358492">
    <w:abstractNumId w:val="7"/>
  </w:num>
  <w:num w:numId="6" w16cid:durableId="2004165297">
    <w:abstractNumId w:val="9"/>
  </w:num>
  <w:num w:numId="7" w16cid:durableId="466515042">
    <w:abstractNumId w:val="3"/>
  </w:num>
  <w:num w:numId="8" w16cid:durableId="420372980">
    <w:abstractNumId w:val="6"/>
  </w:num>
  <w:num w:numId="9" w16cid:durableId="1723599362">
    <w:abstractNumId w:val="8"/>
  </w:num>
  <w:num w:numId="10" w16cid:durableId="1627391857">
    <w:abstractNumId w:val="5"/>
  </w:num>
  <w:num w:numId="11" w16cid:durableId="440761151">
    <w:abstractNumId w:val="4"/>
  </w:num>
  <w:num w:numId="12" w16cid:durableId="1750998764">
    <w:abstractNumId w:val="10"/>
  </w:num>
  <w:num w:numId="13" w16cid:durableId="994844976">
    <w:abstractNumId w:val="13"/>
  </w:num>
  <w:num w:numId="14" w16cid:durableId="1736388738">
    <w:abstractNumId w:val="12"/>
  </w:num>
  <w:num w:numId="15" w16cid:durableId="666861371">
    <w:abstractNumId w:val="14"/>
  </w:num>
  <w:num w:numId="16" w16cid:durableId="2108693350">
    <w:abstractNumId w:val="19"/>
  </w:num>
  <w:num w:numId="17" w16cid:durableId="292369176">
    <w:abstractNumId w:val="16"/>
  </w:num>
  <w:num w:numId="18" w16cid:durableId="98717369">
    <w:abstractNumId w:val="21"/>
  </w:num>
  <w:num w:numId="19" w16cid:durableId="2014721866">
    <w:abstractNumId w:val="15"/>
  </w:num>
  <w:num w:numId="20" w16cid:durableId="449055826">
    <w:abstractNumId w:val="20"/>
  </w:num>
  <w:num w:numId="21" w16cid:durableId="1417556647">
    <w:abstractNumId w:val="18"/>
  </w:num>
  <w:num w:numId="22" w16cid:durableId="363364110">
    <w:abstractNumId w:val="0"/>
  </w:num>
  <w:num w:numId="23" w16cid:durableId="47843534">
    <w:abstractNumId w:val="22"/>
  </w:num>
  <w:num w:numId="24" w16cid:durableId="1533181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3D2"/>
    <w:rsid w:val="000055A0"/>
    <w:rsid w:val="000058A8"/>
    <w:rsid w:val="0005697D"/>
    <w:rsid w:val="0006432C"/>
    <w:rsid w:val="0008480B"/>
    <w:rsid w:val="000956BA"/>
    <w:rsid w:val="000B2DC2"/>
    <w:rsid w:val="000F3B9E"/>
    <w:rsid w:val="00104731"/>
    <w:rsid w:val="00182277"/>
    <w:rsid w:val="001C5948"/>
    <w:rsid w:val="00205009"/>
    <w:rsid w:val="00216FF9"/>
    <w:rsid w:val="00241241"/>
    <w:rsid w:val="002604F1"/>
    <w:rsid w:val="00261958"/>
    <w:rsid w:val="002719D0"/>
    <w:rsid w:val="00277D92"/>
    <w:rsid w:val="00277F2E"/>
    <w:rsid w:val="00285404"/>
    <w:rsid w:val="003245F5"/>
    <w:rsid w:val="003606CF"/>
    <w:rsid w:val="003B4B06"/>
    <w:rsid w:val="003D7138"/>
    <w:rsid w:val="003E14EC"/>
    <w:rsid w:val="0041403C"/>
    <w:rsid w:val="00417926"/>
    <w:rsid w:val="0042140B"/>
    <w:rsid w:val="004722F6"/>
    <w:rsid w:val="004A1303"/>
    <w:rsid w:val="004B566A"/>
    <w:rsid w:val="004E1B1D"/>
    <w:rsid w:val="004F23D2"/>
    <w:rsid w:val="00504F0A"/>
    <w:rsid w:val="00513141"/>
    <w:rsid w:val="00516FCD"/>
    <w:rsid w:val="00517A87"/>
    <w:rsid w:val="00594C37"/>
    <w:rsid w:val="005A220E"/>
    <w:rsid w:val="005B37F4"/>
    <w:rsid w:val="005F33FA"/>
    <w:rsid w:val="00603370"/>
    <w:rsid w:val="00631FA5"/>
    <w:rsid w:val="0067319D"/>
    <w:rsid w:val="00720E23"/>
    <w:rsid w:val="0076477D"/>
    <w:rsid w:val="0078392A"/>
    <w:rsid w:val="0079207F"/>
    <w:rsid w:val="007963CD"/>
    <w:rsid w:val="007A231C"/>
    <w:rsid w:val="007B145C"/>
    <w:rsid w:val="007C2A33"/>
    <w:rsid w:val="00820655"/>
    <w:rsid w:val="00840FE4"/>
    <w:rsid w:val="008A3E37"/>
    <w:rsid w:val="008F5632"/>
    <w:rsid w:val="0096645B"/>
    <w:rsid w:val="0098003C"/>
    <w:rsid w:val="00982CEF"/>
    <w:rsid w:val="009844F9"/>
    <w:rsid w:val="009A047C"/>
    <w:rsid w:val="009C72F7"/>
    <w:rsid w:val="00A0104B"/>
    <w:rsid w:val="00A0181C"/>
    <w:rsid w:val="00A1517C"/>
    <w:rsid w:val="00A36A4D"/>
    <w:rsid w:val="00A645CB"/>
    <w:rsid w:val="00A7093C"/>
    <w:rsid w:val="00AB0E18"/>
    <w:rsid w:val="00AD3D82"/>
    <w:rsid w:val="00AF6404"/>
    <w:rsid w:val="00B107F9"/>
    <w:rsid w:val="00B64646"/>
    <w:rsid w:val="00B811E1"/>
    <w:rsid w:val="00B9570C"/>
    <w:rsid w:val="00BC59FA"/>
    <w:rsid w:val="00C13678"/>
    <w:rsid w:val="00C2797F"/>
    <w:rsid w:val="00C40D9C"/>
    <w:rsid w:val="00C73542"/>
    <w:rsid w:val="00C812E6"/>
    <w:rsid w:val="00CA2E9E"/>
    <w:rsid w:val="00D148E3"/>
    <w:rsid w:val="00D15736"/>
    <w:rsid w:val="00D20849"/>
    <w:rsid w:val="00D356DE"/>
    <w:rsid w:val="00DA0BE9"/>
    <w:rsid w:val="00DE708B"/>
    <w:rsid w:val="00E34E87"/>
    <w:rsid w:val="00EF36F2"/>
    <w:rsid w:val="00F36A48"/>
    <w:rsid w:val="00F67376"/>
    <w:rsid w:val="00FB180B"/>
    <w:rsid w:val="00FC3269"/>
    <w:rsid w:val="00FD26D0"/>
    <w:rsid w:val="00FE1E33"/>
    <w:rsid w:val="00FE26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BCF17"/>
  <w15:docId w15:val="{10ABCD75-697F-4262-931A-3593B036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SimSun" w:hAnsi="Times New Roman" w:cs="Times New Roman"/>
      <w:b/>
      <w:bCs/>
      <w:kern w:val="36"/>
      <w:sz w:val="48"/>
      <w:szCs w:val="48"/>
      <w:lang w:eastAsia="en-IN"/>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SimSun" w:hAnsi="Calibri Light" w:cs="Times New Roman"/>
      <w:color w:val="2E74B5"/>
      <w:sz w:val="26"/>
      <w:szCs w:val="26"/>
      <w:lang w:eastAsia="en-IN"/>
    </w:rPr>
  </w:style>
  <w:style w:type="paragraph" w:styleId="Heading3">
    <w:name w:val="heading 3"/>
    <w:basedOn w:val="Normal"/>
    <w:next w:val="Normal"/>
    <w:link w:val="Heading3Char"/>
    <w:uiPriority w:val="9"/>
    <w:semiHidden/>
    <w:unhideWhenUsed/>
    <w:qFormat/>
    <w:rsid w:val="008A3E3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eastAsia="SimSun" w:cs="Times New Roman"/>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86pc">
    <w:name w:val="t286pc"/>
    <w:basedOn w:val="DefaultParagraphFont"/>
    <w:rPr>
      <w:rFonts w:cs="Times New Roman"/>
    </w:rPr>
  </w:style>
  <w:style w:type="character" w:styleId="Strong">
    <w:name w:val="Strong"/>
    <w:basedOn w:val="DefaultParagraphFont"/>
    <w:qFormat/>
    <w:rPr>
      <w:rFonts w:cs="Times New Roman"/>
      <w:b/>
      <w:bCs/>
    </w:rPr>
  </w:style>
  <w:style w:type="character" w:styleId="Hyperlink">
    <w:name w:val="Hyperlink"/>
    <w:basedOn w:val="DefaultParagraphFont"/>
    <w:uiPriority w:val="99"/>
    <w:rPr>
      <w:rFonts w:cs="Times New Roman"/>
      <w:color w:val="0000FF"/>
      <w:u w:val="single"/>
    </w:rPr>
  </w:style>
  <w:style w:type="character" w:customStyle="1" w:styleId="authors">
    <w:name w:val="authors"/>
    <w:basedOn w:val="DefaultParagraphFont"/>
    <w:rPr>
      <w:rFonts w:cs="Times New Roman"/>
    </w:rPr>
  </w:style>
  <w:style w:type="character" w:customStyle="1" w:styleId="vkekvd">
    <w:name w:val="vkekvd"/>
    <w:basedOn w:val="DefaultParagraphFont"/>
    <w:rPr>
      <w:rFonts w:cs="Times New Roman"/>
    </w:rPr>
  </w:style>
  <w:style w:type="character" w:customStyle="1" w:styleId="Heading1Char">
    <w:name w:val="Heading 1 Char"/>
    <w:basedOn w:val="DefaultParagraphFont"/>
    <w:link w:val="Heading1"/>
    <w:uiPriority w:val="9"/>
    <w:rPr>
      <w:rFonts w:ascii="Times New Roman" w:eastAsia="SimSun" w:hAnsi="Times New Roman" w:cs="Times New Roman"/>
      <w:b/>
      <w:bCs/>
      <w:kern w:val="36"/>
      <w:sz w:val="48"/>
      <w:szCs w:val="48"/>
      <w:lang w:eastAsia="en-IN"/>
    </w:rPr>
  </w:style>
  <w:style w:type="character" w:customStyle="1" w:styleId="Heading2Char">
    <w:name w:val="Heading 2 Char"/>
    <w:basedOn w:val="DefaultParagraphFont"/>
    <w:link w:val="Heading2"/>
    <w:uiPriority w:val="9"/>
    <w:rPr>
      <w:rFonts w:ascii="Calibri Light" w:eastAsia="SimSun" w:hAnsi="Calibri Light" w:cs="Times New Roman"/>
      <w:color w:val="2E74B5"/>
      <w:sz w:val="26"/>
      <w:szCs w:val="26"/>
      <w:lang w:eastAsia="en-IN"/>
    </w:rPr>
  </w:style>
  <w:style w:type="character" w:customStyle="1" w:styleId="title-text">
    <w:name w:val="title-text"/>
    <w:basedOn w:val="DefaultParagraphFont"/>
    <w:rPr>
      <w:rFonts w:cs="Times New Roman"/>
    </w:rPr>
  </w:style>
  <w:style w:type="character" w:customStyle="1" w:styleId="heading">
    <w:name w:val="heading"/>
    <w:basedOn w:val="DefaultParagraphFont"/>
    <w:rPr>
      <w:rFonts w:cs="Times New Roman"/>
    </w:rPr>
  </w:style>
  <w:style w:type="character" w:customStyle="1" w:styleId="author-last-name">
    <w:name w:val="author-last-name"/>
    <w:basedOn w:val="DefaultParagraphFont"/>
    <w:rPr>
      <w:rFonts w:cs="Times New Roman"/>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customStyle="1" w:styleId="TableGrid1">
    <w:name w:val="Table Grid1"/>
    <w:basedOn w:val="TableNormal"/>
    <w:next w:val="TableGrid"/>
    <w:uiPriority w:val="39"/>
    <w:pPr>
      <w:spacing w:after="0" w:line="240" w:lineRule="auto"/>
    </w:pPr>
    <w:rPr>
      <w:rFonts w:cs="Times New Roman"/>
      <w:kern w:val="2"/>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UnresolvedMention">
    <w:name w:val="Unresolved Mention"/>
    <w:basedOn w:val="DefaultParagraphFont"/>
    <w:uiPriority w:val="99"/>
    <w:semiHidden/>
    <w:unhideWhenUsed/>
    <w:rsid w:val="004722F6"/>
    <w:rPr>
      <w:color w:val="605E5C"/>
      <w:shd w:val="clear" w:color="auto" w:fill="E1DFDD"/>
    </w:rPr>
  </w:style>
  <w:style w:type="paragraph" w:styleId="BodyText">
    <w:name w:val="Body Text"/>
    <w:basedOn w:val="Normal"/>
    <w:link w:val="BodyTextChar"/>
    <w:uiPriority w:val="1"/>
    <w:qFormat/>
    <w:rsid w:val="00BC59FA"/>
    <w:pPr>
      <w:widowControl w:val="0"/>
      <w:autoSpaceDE w:val="0"/>
      <w:autoSpaceDN w:val="0"/>
      <w:spacing w:after="0" w:line="240" w:lineRule="auto"/>
      <w:ind w:left="370"/>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BC59FA"/>
    <w:rPr>
      <w:rFonts w:ascii="Times New Roman" w:eastAsia="Times New Roman" w:hAnsi="Times New Roman" w:cs="Times New Roman"/>
      <w:sz w:val="20"/>
      <w:szCs w:val="20"/>
      <w:lang w:val="en-US"/>
    </w:rPr>
  </w:style>
  <w:style w:type="paragraph" w:customStyle="1" w:styleId="TableParagraph">
    <w:name w:val="Table Paragraph"/>
    <w:basedOn w:val="Normal"/>
    <w:uiPriority w:val="1"/>
    <w:qFormat/>
    <w:rsid w:val="00C40D9C"/>
    <w:pPr>
      <w:widowControl w:val="0"/>
      <w:autoSpaceDE w:val="0"/>
      <w:autoSpaceDN w:val="0"/>
      <w:spacing w:before="14" w:after="0" w:line="240" w:lineRule="auto"/>
      <w:ind w:left="110"/>
    </w:pPr>
    <w:rPr>
      <w:rFonts w:ascii="Times New Roman" w:eastAsia="Times New Roman" w:hAnsi="Times New Roman" w:cs="Times New Roman"/>
      <w:lang w:val="en-US"/>
    </w:rPr>
  </w:style>
  <w:style w:type="table" w:styleId="LightShading-Accent1">
    <w:name w:val="Light Shading Accent 1"/>
    <w:basedOn w:val="TableNormal"/>
    <w:uiPriority w:val="60"/>
    <w:rsid w:val="0098003C"/>
    <w:pPr>
      <w:spacing w:after="0" w:line="240" w:lineRule="auto"/>
    </w:pPr>
    <w:rPr>
      <w:rFonts w:asciiTheme="minorHAnsi" w:eastAsiaTheme="minorHAnsi" w:hAnsiTheme="minorHAnsi" w:cstheme="minorBidi"/>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TMLCite">
    <w:name w:val="HTML Cite"/>
    <w:basedOn w:val="DefaultParagraphFont"/>
    <w:uiPriority w:val="99"/>
    <w:semiHidden/>
    <w:unhideWhenUsed/>
    <w:rsid w:val="00F67376"/>
    <w:rPr>
      <w:i/>
      <w:iCs/>
    </w:rPr>
  </w:style>
  <w:style w:type="paragraph" w:styleId="NormalWeb">
    <w:name w:val="Normal (Web)"/>
    <w:uiPriority w:val="99"/>
    <w:qFormat/>
    <w:rsid w:val="00FD26D0"/>
    <w:pPr>
      <w:spacing w:beforeAutospacing="1" w:after="0" w:afterAutospacing="1" w:line="240" w:lineRule="auto"/>
    </w:pPr>
    <w:rPr>
      <w:rFonts w:ascii="Times New Roman" w:eastAsia="SimSun" w:hAnsi="Times New Roman" w:cs="Mangal"/>
      <w:sz w:val="24"/>
      <w:szCs w:val="24"/>
      <w:lang w:val="en-US" w:eastAsia="zh-CN" w:bidi="hi-IN"/>
    </w:rPr>
  </w:style>
  <w:style w:type="character" w:customStyle="1" w:styleId="Heading3Char">
    <w:name w:val="Heading 3 Char"/>
    <w:basedOn w:val="DefaultParagraphFont"/>
    <w:link w:val="Heading3"/>
    <w:uiPriority w:val="9"/>
    <w:semiHidden/>
    <w:rsid w:val="008A3E3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jmpr.i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3590</Words>
  <Characters>20468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Aage</dc:creator>
  <cp:lastModifiedBy>shivanand rajbhar</cp:lastModifiedBy>
  <cp:revision>20</cp:revision>
  <dcterms:created xsi:type="dcterms:W3CDTF">2026-02-22T03:06:00Z</dcterms:created>
  <dcterms:modified xsi:type="dcterms:W3CDTF">2026-02-22T03:18:00Z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407760bacc824dbd8743071d2bb43a63</vt:lpwstr>
  </property>
</Properties>
</file>